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DOC_0258_SOCI</w:t>
      </w:r>
    </w:p>
    <w:p>
      <w:r>
        <w:t># Research Monograph: Social Science Invariants</w:t>
      </w:r>
    </w:p>
    <w:p>
      <w:r>
        <w:t>## Section 1: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1.1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1.2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1.3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1.4 confirmed invariant preservation across multi-tiered evaluation criteria with confidence interval [94.2%, 98.7%].</w:t>
      </w:r>
    </w:p>
    <w:p>
      <w:r>
        <w:t>## Section 2: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2.1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2.2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2.3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2.4 confirmed invariant preservation across multi-tiered evaluation criteria with confidence interval [94.2%, 98.7%].</w:t>
      </w:r>
    </w:p>
    <w:p>
      <w:r>
        <w:t>## Section 3: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3.1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3.2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3.3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3.4 confirmed invariant preservation across multi-tiered evaluation criteria with confidence interval [94.2%, 98.7%].</w:t>
      </w:r>
    </w:p>
    <w:p>
      <w:r>
        <w:t>## Section 4: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4.1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4.2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4.3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4.4 confirmed invariant preservation across multi-tiered evaluation criteria with confidence interval [94.2%, 98.7%].</w:t>
      </w:r>
    </w:p>
    <w:p>
      <w:r>
        <w:t>## Section 5: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5.1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5.2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5.3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5.4 confirmed invariant preservation across multi-tiered evaluation criteria with confidence interval [94.2%, 98.7%].</w:t>
      </w:r>
    </w:p>
    <w:p>
      <w:r>
        <w:t>## Section 6: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6.1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6.2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6.3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6.4 confirmed invariant preservation across multi-tiered evaluation criteria with confidence interval [94.2%, 98.7%].</w:t>
      </w:r>
    </w:p>
    <w:p>
      <w:r>
        <w:t>## Section 7: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7.1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7.2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7.3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7.4 confirmed invariant preservation across multi-tiered evaluation criteria with confidence interval [94.2%, 98.7%].</w:t>
      </w:r>
    </w:p>
    <w:p>
      <w:r>
        <w:t>## Section 8: Comprehensive Domain Analysis</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8.1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8.2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8.3 confirmed invariant preservation across multi-tiered evaluation criteria with confidence interval [94.2%, 98.7%].</w:t>
      </w:r>
    </w:p>
    <w:p>
      <w:r>
        <w:t>In addition, behavioral economic research plays an important role in explaining cognitive decision-making processes under conditions of uncertainty. Prospect theory clearly demonstrates that individuals exhibit pronounced loss aversion when evaluating potential economic choices. Furthermore, empirical survey data confirm that social network cohesion significantly bolsters collective civic engagement.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