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DOC_0283_EVER</w:t>
      </w:r>
    </w:p>
    <w:p>
      <w:r>
        <w:t># Research Monograph: Everyday Writing Invariants</w:t>
      </w:r>
    </w:p>
    <w:p>
      <w:r>
        <w:t>## Section 1: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1.1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1.2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1.3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2.1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2.2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2.3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3.1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3.2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3.3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4.1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4.2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4.3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5.1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5.2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5.3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6.1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6.2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6.3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7.1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7.2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7.3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8.1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8.2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8.3 confirmed invariant preservation across multi-tiered evaluation criteria with confidence interval [94.2%, 98.7%].</w:t>
      </w:r>
    </w:p>
    <w:p>
      <w:r>
        <w:t>We appreciate your continued partnership with our services. Over the past three months, our support organization resolved over 4,500 customer inquiries with an average first-response latency of under 12 minutes. We are continuing to invest in automated diagnostics to provide faster answers to common account questions.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