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Empirical Evaluation of Engineering Physics Manuscripts</w:t>
      </w:r>
    </w:p>
    <w:p>
      <w:r>
        <w:t>Author: Independent Senior ML Evaluation Team | Date: October 2026</w:t>
      </w:r>
    </w:p>
    <w:p>
      <w:pPr>
        <w:pStyle w:val="Heading1"/>
      </w:pPr>
      <w:r>
        <w:t>1. Executive Problem Statement</w:t>
      </w:r>
    </w:p>
    <w:p>
      <w:r>
        <w:t>Scientific publications require absolute preservation of numerical values, specialized technical terms, and authorial voice. Any automated modification tool must guarantee zero corruption of citations and formulas.</w:t>
      </w:r>
    </w:p>
    <w:p>
      <w:pPr>
        <w:pStyle w:val="Heading1"/>
      </w:pPr>
      <w:r>
        <w:t>2. Quantitative Results &amp; Metrics</w:t>
      </w:r>
    </w:p>
    <w:p>
      <w:r>
        <w:t xml:space="preserve">In our multi-site clinical and experimental trials, the observed survival benefit was </w:t>
      </w:r>
      <w:r>
        <w:rPr>
          <w:b/>
        </w:rPr>
        <w:t>14.8%</w:t>
      </w:r>
      <w:r>
        <w:t xml:space="preserve"> with high statistical significance (</w:t>
      </w:r>
      <w:r>
        <w:rPr>
          <w:i/>
        </w:rPr>
        <w:t>p &lt; 0.001</w:t>
      </w:r>
      <w:r>
        <w:t>). Total financial capital expenditure remained at $4.5 million across fiscal year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Sample Size</w:t>
            </w:r>
          </w:p>
        </w:tc>
        <w:tc>
          <w:tcPr>
            <w:tcW w:type="dxa" w:w="2880"/>
          </w:tcPr>
          <w:p>
            <w:r>
              <w:t>Pass Rate</w:t>
            </w:r>
          </w:p>
        </w:tc>
      </w:tr>
      <w:tr>
        <w:tc>
          <w:tcPr>
            <w:tcW w:type="dxa" w:w="2880"/>
          </w:tcPr>
          <w:p>
            <w:r>
              <w:t>Control Baseline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99.8%</w:t>
            </w:r>
          </w:p>
        </w:tc>
      </w:tr>
      <w:tr>
        <w:tc>
          <w:tcPr>
            <w:tcW w:type="dxa" w:w="2880"/>
          </w:tcPr>
          <w:p>
            <w:r>
              <w:t>Treated Cohort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</w:tr>
      <w:tr>
        <w:tc>
          <w:tcPr>
            <w:tcW w:type="dxa" w:w="2880"/>
          </w:tcPr>
          <w:p>
            <w:r>
              <w:t>Stress Tested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3. Concluding Remarks</w:t>
      </w:r>
    </w:p>
    <w:p>
      <w:r>
        <w:t>All institutional review board guidelines and ethical protocols were strictly satisfied.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