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8325E" w14:textId="77777777" w:rsidR="009C1D02" w:rsidRDefault="009C1D02" w:rsidP="002B2880">
      <w:pPr>
        <w:jc w:val="both"/>
        <w:rPr>
          <w:rFonts w:ascii="Times New Roman" w:hAnsi="Times New Roman" w:cs="Times New Roman"/>
          <w:b/>
          <w:bCs/>
          <w:sz w:val="24"/>
          <w:szCs w:val="24"/>
        </w:rPr>
      </w:pPr>
    </w:p>
    <w:p w14:paraId="0FBB2FC5" w14:textId="34A0A356" w:rsidR="009C1D02" w:rsidRDefault="009C1D02" w:rsidP="009C1D0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1A6F68F" wp14:editId="5B564A7A">
            <wp:extent cx="5167045" cy="778816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5">
                      <a:extLst>
                        <a:ext uri="{28A0092B-C50C-407E-A947-70E740481C1C}">
                          <a14:useLocalDpi xmlns:a14="http://schemas.microsoft.com/office/drawing/2010/main" val="0"/>
                        </a:ext>
                      </a:extLst>
                    </a:blip>
                    <a:srcRect l="6183" t="3728" r="6348" b="3068"/>
                    <a:stretch/>
                  </pic:blipFill>
                  <pic:spPr bwMode="auto">
                    <a:xfrm>
                      <a:off x="0" y="0"/>
                      <a:ext cx="5177735" cy="780427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br w:type="page"/>
      </w:r>
    </w:p>
    <w:p w14:paraId="47D3CFE8" w14:textId="1270E2D8" w:rsidR="002B2880" w:rsidRDefault="009C1D02" w:rsidP="002B2880">
      <w:pPr>
        <w:jc w:val="both"/>
        <w:rPr>
          <w:rFonts w:ascii="Times New Roman" w:hAnsi="Times New Roman" w:cs="Times New Roman"/>
          <w:sz w:val="24"/>
          <w:szCs w:val="24"/>
        </w:rPr>
      </w:pPr>
      <w:r w:rsidRPr="009C1D02">
        <w:rPr>
          <w:rFonts w:ascii="Times New Roman" w:hAnsi="Times New Roman" w:cs="Times New Roman"/>
          <w:b/>
          <w:bCs/>
          <w:sz w:val="24"/>
          <w:szCs w:val="24"/>
        </w:rPr>
        <w:lastRenderedPageBreak/>
        <w:t>Name of Report:</w:t>
      </w:r>
      <w:r w:rsidRPr="009C1D02">
        <w:t xml:space="preserve"> </w:t>
      </w:r>
      <w:r w:rsidRPr="009C1D02">
        <w:rPr>
          <w:rFonts w:ascii="Times New Roman" w:hAnsi="Times New Roman" w:cs="Times New Roman"/>
          <w:sz w:val="24"/>
          <w:szCs w:val="24"/>
        </w:rPr>
        <w:t>Decision Table–Based Testing on an Electronics Retailer Discount System</w:t>
      </w:r>
    </w:p>
    <w:p w14:paraId="3B6F0D22" w14:textId="31809F1A" w:rsidR="009C1D02" w:rsidRPr="002B2880" w:rsidRDefault="009C1D02" w:rsidP="002B2880">
      <w:pPr>
        <w:jc w:val="both"/>
        <w:rPr>
          <w:rFonts w:ascii="Times New Roman" w:hAnsi="Times New Roman" w:cs="Times New Roman"/>
          <w:sz w:val="24"/>
          <w:szCs w:val="24"/>
        </w:rPr>
      </w:pPr>
      <w:r w:rsidRPr="009C1D02">
        <w:rPr>
          <w:rFonts w:ascii="Times New Roman" w:hAnsi="Times New Roman" w:cs="Times New Roman"/>
          <w:b/>
          <w:bCs/>
          <w:sz w:val="24"/>
          <w:szCs w:val="24"/>
        </w:rPr>
        <w:t>Objective:</w:t>
      </w:r>
      <w:r>
        <w:rPr>
          <w:rFonts w:ascii="Times New Roman" w:hAnsi="Times New Roman" w:cs="Times New Roman"/>
          <w:sz w:val="24"/>
          <w:szCs w:val="24"/>
        </w:rPr>
        <w:t xml:space="preserve"> </w:t>
      </w:r>
      <w:r w:rsidRPr="009C1D02">
        <w:rPr>
          <w:rFonts w:ascii="Times New Roman" w:hAnsi="Times New Roman" w:cs="Times New Roman"/>
          <w:sz w:val="24"/>
          <w:szCs w:val="24"/>
        </w:rPr>
        <w:t xml:space="preserve">The objective of this experiment is to apply </w:t>
      </w:r>
      <w:r w:rsidRPr="009C1D02">
        <w:rPr>
          <w:rFonts w:ascii="Times New Roman" w:hAnsi="Times New Roman" w:cs="Times New Roman"/>
          <w:b/>
          <w:bCs/>
          <w:sz w:val="24"/>
          <w:szCs w:val="24"/>
        </w:rPr>
        <w:t>Decision Table–Based Testing</w:t>
      </w:r>
      <w:r w:rsidRPr="009C1D02">
        <w:rPr>
          <w:rFonts w:ascii="Times New Roman" w:hAnsi="Times New Roman" w:cs="Times New Roman"/>
          <w:sz w:val="24"/>
          <w:szCs w:val="24"/>
        </w:rPr>
        <w:t xml:space="preserve"> to an electronics retailer’s discount calculation system. The purpose is to verify that discounts are correctly applied based on different combinations of customer category, order amount, and clearance status. Through this lab, we aim to understand how decision tables help identify conditions and actions, design effective test cases, detect logical defects, and validate system behavior.</w:t>
      </w:r>
    </w:p>
    <w:p w14:paraId="11FBE014"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t>System Description</w:t>
      </w:r>
    </w:p>
    <w:p w14:paraId="06D01717"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The retailer offers discounts depending on three main input factors:</w:t>
      </w:r>
    </w:p>
    <w:p w14:paraId="78128D31" w14:textId="77777777" w:rsidR="009C1D02" w:rsidRPr="009C1D02" w:rsidRDefault="009C1D02" w:rsidP="009C1D02">
      <w:pPr>
        <w:numPr>
          <w:ilvl w:val="0"/>
          <w:numId w:val="1"/>
        </w:numPr>
        <w:jc w:val="both"/>
        <w:rPr>
          <w:rFonts w:ascii="Times New Roman" w:hAnsi="Times New Roman" w:cs="Times New Roman"/>
          <w:sz w:val="24"/>
          <w:szCs w:val="24"/>
        </w:rPr>
      </w:pPr>
      <w:r w:rsidRPr="009C1D02">
        <w:rPr>
          <w:rFonts w:ascii="Times New Roman" w:hAnsi="Times New Roman" w:cs="Times New Roman"/>
          <w:b/>
          <w:bCs/>
          <w:sz w:val="24"/>
          <w:szCs w:val="24"/>
        </w:rPr>
        <w:t>Customer Type:</w:t>
      </w:r>
      <w:r w:rsidRPr="009C1D02">
        <w:rPr>
          <w:rFonts w:ascii="Times New Roman" w:hAnsi="Times New Roman" w:cs="Times New Roman"/>
          <w:sz w:val="24"/>
          <w:szCs w:val="24"/>
        </w:rPr>
        <w:t xml:space="preserve"> VIP, Corporate, or Standard</w:t>
      </w:r>
    </w:p>
    <w:p w14:paraId="7ABF87B5" w14:textId="77777777" w:rsidR="009C1D02" w:rsidRPr="009C1D02" w:rsidRDefault="009C1D02" w:rsidP="009C1D02">
      <w:pPr>
        <w:numPr>
          <w:ilvl w:val="0"/>
          <w:numId w:val="1"/>
        </w:numPr>
        <w:jc w:val="both"/>
        <w:rPr>
          <w:rFonts w:ascii="Times New Roman" w:hAnsi="Times New Roman" w:cs="Times New Roman"/>
          <w:sz w:val="24"/>
          <w:szCs w:val="24"/>
        </w:rPr>
      </w:pPr>
      <w:r w:rsidRPr="009C1D02">
        <w:rPr>
          <w:rFonts w:ascii="Times New Roman" w:hAnsi="Times New Roman" w:cs="Times New Roman"/>
          <w:b/>
          <w:bCs/>
          <w:sz w:val="24"/>
          <w:szCs w:val="24"/>
        </w:rPr>
        <w:t>Order Value (USD):</w:t>
      </w:r>
    </w:p>
    <w:p w14:paraId="20C63526" w14:textId="77777777" w:rsidR="009C1D02" w:rsidRPr="009C1D02" w:rsidRDefault="009C1D02" w:rsidP="009C1D02">
      <w:pPr>
        <w:numPr>
          <w:ilvl w:val="1"/>
          <w:numId w:val="1"/>
        </w:numPr>
        <w:jc w:val="both"/>
        <w:rPr>
          <w:rFonts w:ascii="Times New Roman" w:hAnsi="Times New Roman" w:cs="Times New Roman"/>
          <w:sz w:val="24"/>
          <w:szCs w:val="24"/>
        </w:rPr>
      </w:pPr>
      <w:r w:rsidRPr="009C1D02">
        <w:rPr>
          <w:rFonts w:ascii="Times New Roman" w:hAnsi="Times New Roman" w:cs="Times New Roman"/>
          <w:sz w:val="24"/>
          <w:szCs w:val="24"/>
        </w:rPr>
        <w:t>Above 10,000</w:t>
      </w:r>
    </w:p>
    <w:p w14:paraId="6EF1B929" w14:textId="77777777" w:rsidR="009C1D02" w:rsidRPr="009C1D02" w:rsidRDefault="009C1D02" w:rsidP="009C1D02">
      <w:pPr>
        <w:numPr>
          <w:ilvl w:val="1"/>
          <w:numId w:val="1"/>
        </w:numPr>
        <w:jc w:val="both"/>
        <w:rPr>
          <w:rFonts w:ascii="Times New Roman" w:hAnsi="Times New Roman" w:cs="Times New Roman"/>
          <w:sz w:val="24"/>
          <w:szCs w:val="24"/>
        </w:rPr>
      </w:pPr>
      <w:r w:rsidRPr="009C1D02">
        <w:rPr>
          <w:rFonts w:ascii="Times New Roman" w:hAnsi="Times New Roman" w:cs="Times New Roman"/>
          <w:sz w:val="24"/>
          <w:szCs w:val="24"/>
        </w:rPr>
        <w:t>Between 5,000 and 10,000</w:t>
      </w:r>
    </w:p>
    <w:p w14:paraId="4A59493D" w14:textId="77777777" w:rsidR="009C1D02" w:rsidRPr="009C1D02" w:rsidRDefault="009C1D02" w:rsidP="009C1D02">
      <w:pPr>
        <w:numPr>
          <w:ilvl w:val="1"/>
          <w:numId w:val="1"/>
        </w:numPr>
        <w:jc w:val="both"/>
        <w:rPr>
          <w:rFonts w:ascii="Times New Roman" w:hAnsi="Times New Roman" w:cs="Times New Roman"/>
          <w:sz w:val="24"/>
          <w:szCs w:val="24"/>
        </w:rPr>
      </w:pPr>
      <w:r w:rsidRPr="009C1D02">
        <w:rPr>
          <w:rFonts w:ascii="Times New Roman" w:hAnsi="Times New Roman" w:cs="Times New Roman"/>
          <w:sz w:val="24"/>
          <w:szCs w:val="24"/>
        </w:rPr>
        <w:t>Below 5,000</w:t>
      </w:r>
    </w:p>
    <w:p w14:paraId="5E5B8000" w14:textId="77777777" w:rsidR="009C1D02" w:rsidRPr="009C1D02" w:rsidRDefault="009C1D02" w:rsidP="009C1D02">
      <w:pPr>
        <w:numPr>
          <w:ilvl w:val="0"/>
          <w:numId w:val="1"/>
        </w:numPr>
        <w:jc w:val="both"/>
        <w:rPr>
          <w:rFonts w:ascii="Times New Roman" w:hAnsi="Times New Roman" w:cs="Times New Roman"/>
          <w:sz w:val="24"/>
          <w:szCs w:val="24"/>
        </w:rPr>
      </w:pPr>
      <w:r w:rsidRPr="009C1D02">
        <w:rPr>
          <w:rFonts w:ascii="Times New Roman" w:hAnsi="Times New Roman" w:cs="Times New Roman"/>
          <w:b/>
          <w:bCs/>
          <w:sz w:val="24"/>
          <w:szCs w:val="24"/>
        </w:rPr>
        <w:t>Clearance Status:</w:t>
      </w:r>
      <w:r w:rsidRPr="009C1D02">
        <w:rPr>
          <w:rFonts w:ascii="Times New Roman" w:hAnsi="Times New Roman" w:cs="Times New Roman"/>
          <w:sz w:val="24"/>
          <w:szCs w:val="24"/>
        </w:rPr>
        <w:t xml:space="preserve"> Yes or No</w:t>
      </w:r>
    </w:p>
    <w:p w14:paraId="774A6DD8"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 xml:space="preserve">The discount policy follows specific business rules. VIP customers always receive a fixed discount regardless of order amount. Corporate and Standard customers receive tier-based discounts depending on the order value. However, if an item is marked as </w:t>
      </w:r>
      <w:r w:rsidRPr="009C1D02">
        <w:rPr>
          <w:rFonts w:ascii="Times New Roman" w:hAnsi="Times New Roman" w:cs="Times New Roman"/>
          <w:i/>
          <w:iCs/>
          <w:sz w:val="24"/>
          <w:szCs w:val="24"/>
        </w:rPr>
        <w:t>Clearance</w:t>
      </w:r>
      <w:r w:rsidRPr="009C1D02">
        <w:rPr>
          <w:rFonts w:ascii="Times New Roman" w:hAnsi="Times New Roman" w:cs="Times New Roman"/>
          <w:sz w:val="24"/>
          <w:szCs w:val="24"/>
        </w:rPr>
        <w:t>, a flat discount is applied to all customers, overriding every other rule.</w:t>
      </w:r>
    </w:p>
    <w:p w14:paraId="69DE0564"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t>Discount Rules Summary</w:t>
      </w:r>
    </w:p>
    <w:p w14:paraId="0581AF43" w14:textId="77777777" w:rsidR="009C1D02" w:rsidRPr="009C1D02" w:rsidRDefault="009C1D02" w:rsidP="009C1D02">
      <w:pPr>
        <w:numPr>
          <w:ilvl w:val="0"/>
          <w:numId w:val="2"/>
        </w:numPr>
        <w:jc w:val="both"/>
        <w:rPr>
          <w:rFonts w:ascii="Times New Roman" w:hAnsi="Times New Roman" w:cs="Times New Roman"/>
          <w:sz w:val="24"/>
          <w:szCs w:val="24"/>
        </w:rPr>
      </w:pPr>
      <w:r w:rsidRPr="009C1D02">
        <w:rPr>
          <w:rFonts w:ascii="Times New Roman" w:hAnsi="Times New Roman" w:cs="Times New Roman"/>
          <w:b/>
          <w:bCs/>
          <w:sz w:val="24"/>
          <w:szCs w:val="24"/>
        </w:rPr>
        <w:t>VIP Customers:</w:t>
      </w:r>
      <w:r w:rsidRPr="009C1D02">
        <w:rPr>
          <w:rFonts w:ascii="Times New Roman" w:hAnsi="Times New Roman" w:cs="Times New Roman"/>
          <w:sz w:val="24"/>
          <w:szCs w:val="24"/>
        </w:rPr>
        <w:t xml:space="preserve"> Always receive a 15% discount</w:t>
      </w:r>
    </w:p>
    <w:p w14:paraId="5B2D6053" w14:textId="77777777" w:rsidR="009C1D02" w:rsidRPr="009C1D02" w:rsidRDefault="009C1D02" w:rsidP="009C1D02">
      <w:pPr>
        <w:numPr>
          <w:ilvl w:val="0"/>
          <w:numId w:val="2"/>
        </w:numPr>
        <w:jc w:val="both"/>
        <w:rPr>
          <w:rFonts w:ascii="Times New Roman" w:hAnsi="Times New Roman" w:cs="Times New Roman"/>
          <w:sz w:val="24"/>
          <w:szCs w:val="24"/>
        </w:rPr>
      </w:pPr>
      <w:r w:rsidRPr="009C1D02">
        <w:rPr>
          <w:rFonts w:ascii="Times New Roman" w:hAnsi="Times New Roman" w:cs="Times New Roman"/>
          <w:b/>
          <w:bCs/>
          <w:sz w:val="24"/>
          <w:szCs w:val="24"/>
        </w:rPr>
        <w:t>Corporate Customers:</w:t>
      </w:r>
    </w:p>
    <w:p w14:paraId="76D538D3" w14:textId="77777777" w:rsidR="009C1D02" w:rsidRPr="009C1D02" w:rsidRDefault="009C1D02" w:rsidP="009C1D02">
      <w:pPr>
        <w:numPr>
          <w:ilvl w:val="1"/>
          <w:numId w:val="2"/>
        </w:numPr>
        <w:jc w:val="both"/>
        <w:rPr>
          <w:rFonts w:ascii="Times New Roman" w:hAnsi="Times New Roman" w:cs="Times New Roman"/>
          <w:sz w:val="24"/>
          <w:szCs w:val="24"/>
        </w:rPr>
      </w:pPr>
      <w:r w:rsidRPr="009C1D02">
        <w:rPr>
          <w:rFonts w:ascii="Times New Roman" w:hAnsi="Times New Roman" w:cs="Times New Roman"/>
          <w:sz w:val="24"/>
          <w:szCs w:val="24"/>
        </w:rPr>
        <w:t>Order value above 10,000 USD → 12%</w:t>
      </w:r>
    </w:p>
    <w:p w14:paraId="6CF1ED56" w14:textId="77777777" w:rsidR="009C1D02" w:rsidRPr="009C1D02" w:rsidRDefault="009C1D02" w:rsidP="009C1D02">
      <w:pPr>
        <w:numPr>
          <w:ilvl w:val="1"/>
          <w:numId w:val="2"/>
        </w:numPr>
        <w:jc w:val="both"/>
        <w:rPr>
          <w:rFonts w:ascii="Times New Roman" w:hAnsi="Times New Roman" w:cs="Times New Roman"/>
          <w:sz w:val="24"/>
          <w:szCs w:val="24"/>
        </w:rPr>
      </w:pPr>
      <w:r w:rsidRPr="009C1D02">
        <w:rPr>
          <w:rFonts w:ascii="Times New Roman" w:hAnsi="Times New Roman" w:cs="Times New Roman"/>
          <w:sz w:val="24"/>
          <w:szCs w:val="24"/>
        </w:rPr>
        <w:t>Order value between 5,000 and 10,000 USD → 10%</w:t>
      </w:r>
    </w:p>
    <w:p w14:paraId="182AF1A8" w14:textId="77777777" w:rsidR="009C1D02" w:rsidRPr="009C1D02" w:rsidRDefault="009C1D02" w:rsidP="009C1D02">
      <w:pPr>
        <w:numPr>
          <w:ilvl w:val="1"/>
          <w:numId w:val="2"/>
        </w:numPr>
        <w:jc w:val="both"/>
        <w:rPr>
          <w:rFonts w:ascii="Times New Roman" w:hAnsi="Times New Roman" w:cs="Times New Roman"/>
          <w:sz w:val="24"/>
          <w:szCs w:val="24"/>
        </w:rPr>
      </w:pPr>
      <w:r w:rsidRPr="009C1D02">
        <w:rPr>
          <w:rFonts w:ascii="Times New Roman" w:hAnsi="Times New Roman" w:cs="Times New Roman"/>
          <w:sz w:val="24"/>
          <w:szCs w:val="24"/>
        </w:rPr>
        <w:t>Order value below 5,000 USD → 7%</w:t>
      </w:r>
    </w:p>
    <w:p w14:paraId="428585C9" w14:textId="77777777" w:rsidR="009C1D02" w:rsidRPr="009C1D02" w:rsidRDefault="009C1D02" w:rsidP="009C1D02">
      <w:pPr>
        <w:numPr>
          <w:ilvl w:val="0"/>
          <w:numId w:val="2"/>
        </w:numPr>
        <w:jc w:val="both"/>
        <w:rPr>
          <w:rFonts w:ascii="Times New Roman" w:hAnsi="Times New Roman" w:cs="Times New Roman"/>
          <w:sz w:val="24"/>
          <w:szCs w:val="24"/>
        </w:rPr>
      </w:pPr>
      <w:r w:rsidRPr="009C1D02">
        <w:rPr>
          <w:rFonts w:ascii="Times New Roman" w:hAnsi="Times New Roman" w:cs="Times New Roman"/>
          <w:b/>
          <w:bCs/>
          <w:sz w:val="24"/>
          <w:szCs w:val="24"/>
        </w:rPr>
        <w:t>Standard Customers:</w:t>
      </w:r>
    </w:p>
    <w:p w14:paraId="176A3C00" w14:textId="77777777" w:rsidR="009C1D02" w:rsidRPr="009C1D02" w:rsidRDefault="009C1D02" w:rsidP="009C1D02">
      <w:pPr>
        <w:numPr>
          <w:ilvl w:val="1"/>
          <w:numId w:val="2"/>
        </w:numPr>
        <w:jc w:val="both"/>
        <w:rPr>
          <w:rFonts w:ascii="Times New Roman" w:hAnsi="Times New Roman" w:cs="Times New Roman"/>
          <w:sz w:val="24"/>
          <w:szCs w:val="24"/>
        </w:rPr>
      </w:pPr>
      <w:r w:rsidRPr="009C1D02">
        <w:rPr>
          <w:rFonts w:ascii="Times New Roman" w:hAnsi="Times New Roman" w:cs="Times New Roman"/>
          <w:sz w:val="24"/>
          <w:szCs w:val="24"/>
        </w:rPr>
        <w:t>Order value above 10,000 USD → 10%</w:t>
      </w:r>
    </w:p>
    <w:p w14:paraId="618C8684" w14:textId="77777777" w:rsidR="009C1D02" w:rsidRPr="009C1D02" w:rsidRDefault="009C1D02" w:rsidP="009C1D02">
      <w:pPr>
        <w:numPr>
          <w:ilvl w:val="1"/>
          <w:numId w:val="2"/>
        </w:numPr>
        <w:jc w:val="both"/>
        <w:rPr>
          <w:rFonts w:ascii="Times New Roman" w:hAnsi="Times New Roman" w:cs="Times New Roman"/>
          <w:sz w:val="24"/>
          <w:szCs w:val="24"/>
        </w:rPr>
      </w:pPr>
      <w:r w:rsidRPr="009C1D02">
        <w:rPr>
          <w:rFonts w:ascii="Times New Roman" w:hAnsi="Times New Roman" w:cs="Times New Roman"/>
          <w:sz w:val="24"/>
          <w:szCs w:val="24"/>
        </w:rPr>
        <w:t>Order value between 5,000 and 10,000 USD → 5%</w:t>
      </w:r>
    </w:p>
    <w:p w14:paraId="671170D5" w14:textId="77777777" w:rsidR="009C1D02" w:rsidRPr="009C1D02" w:rsidRDefault="009C1D02" w:rsidP="009C1D02">
      <w:pPr>
        <w:numPr>
          <w:ilvl w:val="1"/>
          <w:numId w:val="2"/>
        </w:numPr>
        <w:jc w:val="both"/>
        <w:rPr>
          <w:rFonts w:ascii="Times New Roman" w:hAnsi="Times New Roman" w:cs="Times New Roman"/>
          <w:sz w:val="24"/>
          <w:szCs w:val="24"/>
        </w:rPr>
      </w:pPr>
      <w:r w:rsidRPr="009C1D02">
        <w:rPr>
          <w:rFonts w:ascii="Times New Roman" w:hAnsi="Times New Roman" w:cs="Times New Roman"/>
          <w:sz w:val="24"/>
          <w:szCs w:val="24"/>
        </w:rPr>
        <w:t>Order value below 5,000 USD → 0%</w:t>
      </w:r>
    </w:p>
    <w:p w14:paraId="23229763" w14:textId="77777777" w:rsidR="009C1D02" w:rsidRPr="009C1D02" w:rsidRDefault="009C1D02" w:rsidP="009C1D02">
      <w:pPr>
        <w:numPr>
          <w:ilvl w:val="0"/>
          <w:numId w:val="2"/>
        </w:numPr>
        <w:jc w:val="both"/>
        <w:rPr>
          <w:rFonts w:ascii="Times New Roman" w:hAnsi="Times New Roman" w:cs="Times New Roman"/>
          <w:sz w:val="24"/>
          <w:szCs w:val="24"/>
        </w:rPr>
      </w:pPr>
      <w:r w:rsidRPr="009C1D02">
        <w:rPr>
          <w:rFonts w:ascii="Times New Roman" w:hAnsi="Times New Roman" w:cs="Times New Roman"/>
          <w:b/>
          <w:bCs/>
          <w:sz w:val="24"/>
          <w:szCs w:val="24"/>
        </w:rPr>
        <w:t>Clearance Items:</w:t>
      </w:r>
      <w:r w:rsidRPr="009C1D02">
        <w:rPr>
          <w:rFonts w:ascii="Times New Roman" w:hAnsi="Times New Roman" w:cs="Times New Roman"/>
          <w:sz w:val="24"/>
          <w:szCs w:val="24"/>
        </w:rPr>
        <w:t xml:space="preserve"> Flat 20% discount for all customer types</w:t>
      </w:r>
    </w:p>
    <w:p w14:paraId="4DBE2C1C" w14:textId="77777777" w:rsidR="009C1D02" w:rsidRDefault="009C1D02">
      <w:pPr>
        <w:rPr>
          <w:rFonts w:ascii="Times New Roman" w:hAnsi="Times New Roman" w:cs="Times New Roman"/>
          <w:sz w:val="24"/>
          <w:szCs w:val="24"/>
        </w:rPr>
      </w:pPr>
      <w:r>
        <w:rPr>
          <w:rFonts w:ascii="Times New Roman" w:hAnsi="Times New Roman" w:cs="Times New Roman"/>
          <w:sz w:val="24"/>
          <w:szCs w:val="24"/>
        </w:rPr>
        <w:br w:type="page"/>
      </w:r>
    </w:p>
    <w:p w14:paraId="351D6381"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lastRenderedPageBreak/>
        <w:t>Decision Table Construction</w:t>
      </w:r>
    </w:p>
    <w:p w14:paraId="437F2660"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 xml:space="preserve">To represent the above logic systematically, a </w:t>
      </w:r>
      <w:r w:rsidRPr="009C1D02">
        <w:rPr>
          <w:rFonts w:ascii="Times New Roman" w:hAnsi="Times New Roman" w:cs="Times New Roman"/>
          <w:b/>
          <w:bCs/>
          <w:sz w:val="24"/>
          <w:szCs w:val="24"/>
        </w:rPr>
        <w:t>limited-entry decision table</w:t>
      </w:r>
      <w:r w:rsidRPr="009C1D02">
        <w:rPr>
          <w:rFonts w:ascii="Times New Roman" w:hAnsi="Times New Roman" w:cs="Times New Roman"/>
          <w:sz w:val="24"/>
          <w:szCs w:val="24"/>
        </w:rPr>
        <w:t xml:space="preserve"> was created. The table consists of a set of conditions (C1–C7) representing customer category, order value range, and clearance status, along with actions (A1–A7) representing possible discount percentages.</w:t>
      </w:r>
    </w:p>
    <w:p w14:paraId="7FF01AE5"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 xml:space="preserve">Based on the interaction of these conditions, </w:t>
      </w:r>
      <w:r w:rsidRPr="009C1D02">
        <w:rPr>
          <w:rFonts w:ascii="Times New Roman" w:hAnsi="Times New Roman" w:cs="Times New Roman"/>
          <w:b/>
          <w:bCs/>
          <w:sz w:val="24"/>
          <w:szCs w:val="24"/>
        </w:rPr>
        <w:t>nine distinct decision rules (R1–R9)</w:t>
      </w:r>
      <w:r w:rsidRPr="009C1D02">
        <w:rPr>
          <w:rFonts w:ascii="Times New Roman" w:hAnsi="Times New Roman" w:cs="Times New Roman"/>
          <w:sz w:val="24"/>
          <w:szCs w:val="24"/>
        </w:rPr>
        <w:t xml:space="preserve"> were derived. Each rule corresponds to a unique business scenario and results in exactly one discount action. This approach ensures full logical coverage while avoiding redundant combinations.</w:t>
      </w:r>
    </w:p>
    <w:p w14:paraId="174BD8AE"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t>Test Case Design</w:t>
      </w:r>
    </w:p>
    <w:p w14:paraId="53C45504"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Test cases were derived directly from the decision table. Each test case includes:</w:t>
      </w:r>
    </w:p>
    <w:p w14:paraId="2DFE5112" w14:textId="77777777" w:rsidR="009C1D02" w:rsidRPr="009C1D02" w:rsidRDefault="009C1D02" w:rsidP="009C1D02">
      <w:pPr>
        <w:numPr>
          <w:ilvl w:val="0"/>
          <w:numId w:val="3"/>
        </w:numPr>
        <w:jc w:val="both"/>
        <w:rPr>
          <w:rFonts w:ascii="Times New Roman" w:hAnsi="Times New Roman" w:cs="Times New Roman"/>
          <w:sz w:val="24"/>
          <w:szCs w:val="24"/>
        </w:rPr>
      </w:pPr>
      <w:r w:rsidRPr="009C1D02">
        <w:rPr>
          <w:rFonts w:ascii="Times New Roman" w:hAnsi="Times New Roman" w:cs="Times New Roman"/>
          <w:sz w:val="24"/>
          <w:szCs w:val="24"/>
        </w:rPr>
        <w:t>Test Case ID</w:t>
      </w:r>
    </w:p>
    <w:p w14:paraId="1078F87B" w14:textId="2E8BCBFD" w:rsidR="009C1D02" w:rsidRPr="009C1D02" w:rsidRDefault="009C1D02" w:rsidP="009C1D02">
      <w:pPr>
        <w:numPr>
          <w:ilvl w:val="0"/>
          <w:numId w:val="3"/>
        </w:numPr>
        <w:jc w:val="both"/>
        <w:rPr>
          <w:rFonts w:ascii="Times New Roman" w:hAnsi="Times New Roman" w:cs="Times New Roman"/>
          <w:sz w:val="24"/>
          <w:szCs w:val="24"/>
        </w:rPr>
      </w:pPr>
      <w:r w:rsidRPr="009C1D02">
        <w:rPr>
          <w:rFonts w:ascii="Times New Roman" w:hAnsi="Times New Roman" w:cs="Times New Roman"/>
          <w:sz w:val="24"/>
          <w:szCs w:val="24"/>
        </w:rPr>
        <w:t>Customer Type</w:t>
      </w:r>
      <w:r>
        <w:rPr>
          <w:rFonts w:ascii="Times New Roman" w:hAnsi="Times New Roman" w:cs="Times New Roman"/>
          <w:sz w:val="24"/>
          <w:szCs w:val="24"/>
        </w:rPr>
        <w:t xml:space="preserve"> (Input 01)</w:t>
      </w:r>
    </w:p>
    <w:p w14:paraId="0BE15177" w14:textId="7CE72A42" w:rsidR="009C1D02" w:rsidRPr="009C1D02" w:rsidRDefault="009C1D02" w:rsidP="009C1D02">
      <w:pPr>
        <w:numPr>
          <w:ilvl w:val="0"/>
          <w:numId w:val="3"/>
        </w:numPr>
        <w:jc w:val="both"/>
        <w:rPr>
          <w:rFonts w:ascii="Times New Roman" w:hAnsi="Times New Roman" w:cs="Times New Roman"/>
          <w:sz w:val="24"/>
          <w:szCs w:val="24"/>
        </w:rPr>
      </w:pPr>
      <w:r w:rsidRPr="009C1D02">
        <w:rPr>
          <w:rFonts w:ascii="Times New Roman" w:hAnsi="Times New Roman" w:cs="Times New Roman"/>
          <w:sz w:val="24"/>
          <w:szCs w:val="24"/>
        </w:rPr>
        <w:t>Order Value</w:t>
      </w:r>
      <w:r>
        <w:rPr>
          <w:rFonts w:ascii="Times New Roman" w:hAnsi="Times New Roman" w:cs="Times New Roman"/>
          <w:sz w:val="24"/>
          <w:szCs w:val="24"/>
        </w:rPr>
        <w:t xml:space="preserve"> </w:t>
      </w:r>
      <w:r>
        <w:rPr>
          <w:rFonts w:ascii="Times New Roman" w:hAnsi="Times New Roman" w:cs="Times New Roman"/>
          <w:sz w:val="24"/>
          <w:szCs w:val="24"/>
        </w:rPr>
        <w:t>(Input 0</w:t>
      </w:r>
      <w:r>
        <w:rPr>
          <w:rFonts w:ascii="Times New Roman" w:hAnsi="Times New Roman" w:cs="Times New Roman"/>
          <w:sz w:val="24"/>
          <w:szCs w:val="24"/>
        </w:rPr>
        <w:t>2</w:t>
      </w:r>
      <w:r>
        <w:rPr>
          <w:rFonts w:ascii="Times New Roman" w:hAnsi="Times New Roman" w:cs="Times New Roman"/>
          <w:sz w:val="24"/>
          <w:szCs w:val="24"/>
        </w:rPr>
        <w:t>)</w:t>
      </w:r>
    </w:p>
    <w:p w14:paraId="5DFF0058" w14:textId="69A1C5C0" w:rsidR="009C1D02" w:rsidRPr="009C1D02" w:rsidRDefault="009C1D02" w:rsidP="009C1D02">
      <w:pPr>
        <w:numPr>
          <w:ilvl w:val="0"/>
          <w:numId w:val="3"/>
        </w:numPr>
        <w:jc w:val="both"/>
        <w:rPr>
          <w:rFonts w:ascii="Times New Roman" w:hAnsi="Times New Roman" w:cs="Times New Roman"/>
          <w:sz w:val="24"/>
          <w:szCs w:val="24"/>
        </w:rPr>
      </w:pPr>
      <w:r w:rsidRPr="009C1D02">
        <w:rPr>
          <w:rFonts w:ascii="Times New Roman" w:hAnsi="Times New Roman" w:cs="Times New Roman"/>
          <w:sz w:val="24"/>
          <w:szCs w:val="24"/>
        </w:rPr>
        <w:t>Clearance Status</w:t>
      </w:r>
      <w:r>
        <w:rPr>
          <w:rFonts w:ascii="Times New Roman" w:hAnsi="Times New Roman" w:cs="Times New Roman"/>
          <w:sz w:val="24"/>
          <w:szCs w:val="24"/>
        </w:rPr>
        <w:t xml:space="preserve"> </w:t>
      </w:r>
      <w:r>
        <w:rPr>
          <w:rFonts w:ascii="Times New Roman" w:hAnsi="Times New Roman" w:cs="Times New Roman"/>
          <w:sz w:val="24"/>
          <w:szCs w:val="24"/>
        </w:rPr>
        <w:t>(Input 0</w:t>
      </w:r>
      <w:r>
        <w:rPr>
          <w:rFonts w:ascii="Times New Roman" w:hAnsi="Times New Roman" w:cs="Times New Roman"/>
          <w:sz w:val="24"/>
          <w:szCs w:val="24"/>
        </w:rPr>
        <w:t>3</w:t>
      </w:r>
      <w:r>
        <w:rPr>
          <w:rFonts w:ascii="Times New Roman" w:hAnsi="Times New Roman" w:cs="Times New Roman"/>
          <w:sz w:val="24"/>
          <w:szCs w:val="24"/>
        </w:rPr>
        <w:t>)</w:t>
      </w:r>
    </w:p>
    <w:p w14:paraId="1ABD2010" w14:textId="77777777" w:rsidR="009C1D02" w:rsidRPr="009C1D02" w:rsidRDefault="009C1D02" w:rsidP="009C1D02">
      <w:pPr>
        <w:numPr>
          <w:ilvl w:val="0"/>
          <w:numId w:val="3"/>
        </w:numPr>
        <w:jc w:val="both"/>
        <w:rPr>
          <w:rFonts w:ascii="Times New Roman" w:hAnsi="Times New Roman" w:cs="Times New Roman"/>
          <w:sz w:val="24"/>
          <w:szCs w:val="24"/>
        </w:rPr>
      </w:pPr>
      <w:r w:rsidRPr="009C1D02">
        <w:rPr>
          <w:rFonts w:ascii="Times New Roman" w:hAnsi="Times New Roman" w:cs="Times New Roman"/>
          <w:sz w:val="24"/>
          <w:szCs w:val="24"/>
        </w:rPr>
        <w:t>Expected Discount</w:t>
      </w:r>
    </w:p>
    <w:p w14:paraId="6483D576" w14:textId="77777777" w:rsidR="009C1D02" w:rsidRPr="009C1D02" w:rsidRDefault="009C1D02" w:rsidP="009C1D02">
      <w:pPr>
        <w:numPr>
          <w:ilvl w:val="0"/>
          <w:numId w:val="3"/>
        </w:numPr>
        <w:jc w:val="both"/>
        <w:rPr>
          <w:rFonts w:ascii="Times New Roman" w:hAnsi="Times New Roman" w:cs="Times New Roman"/>
          <w:sz w:val="24"/>
          <w:szCs w:val="24"/>
        </w:rPr>
      </w:pPr>
      <w:r w:rsidRPr="009C1D02">
        <w:rPr>
          <w:rFonts w:ascii="Times New Roman" w:hAnsi="Times New Roman" w:cs="Times New Roman"/>
          <w:sz w:val="24"/>
          <w:szCs w:val="24"/>
        </w:rPr>
        <w:t>Actual Discount</w:t>
      </w:r>
    </w:p>
    <w:p w14:paraId="30A0ECEE" w14:textId="77777777" w:rsidR="009C1D02" w:rsidRPr="009C1D02" w:rsidRDefault="009C1D02" w:rsidP="009C1D02">
      <w:pPr>
        <w:numPr>
          <w:ilvl w:val="0"/>
          <w:numId w:val="3"/>
        </w:numPr>
        <w:jc w:val="both"/>
        <w:rPr>
          <w:rFonts w:ascii="Times New Roman" w:hAnsi="Times New Roman" w:cs="Times New Roman"/>
          <w:sz w:val="24"/>
          <w:szCs w:val="24"/>
        </w:rPr>
      </w:pPr>
      <w:r w:rsidRPr="009C1D02">
        <w:rPr>
          <w:rFonts w:ascii="Times New Roman" w:hAnsi="Times New Roman" w:cs="Times New Roman"/>
          <w:sz w:val="24"/>
          <w:szCs w:val="24"/>
        </w:rPr>
        <w:t>Pass/Fail Result</w:t>
      </w:r>
    </w:p>
    <w:p w14:paraId="28AE30DE"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 xml:space="preserve">A total of </w:t>
      </w:r>
      <w:r w:rsidRPr="009C1D02">
        <w:rPr>
          <w:rFonts w:ascii="Times New Roman" w:hAnsi="Times New Roman" w:cs="Times New Roman"/>
          <w:b/>
          <w:bCs/>
          <w:sz w:val="24"/>
          <w:szCs w:val="24"/>
        </w:rPr>
        <w:t>14 test cases</w:t>
      </w:r>
      <w:r w:rsidRPr="009C1D02">
        <w:rPr>
          <w:rFonts w:ascii="Times New Roman" w:hAnsi="Times New Roman" w:cs="Times New Roman"/>
          <w:sz w:val="24"/>
          <w:szCs w:val="24"/>
        </w:rPr>
        <w:t xml:space="preserve"> were designed using equivalence partitioning and boundary value analysis. These test cases adequately cover all meaningful combinations, including normal scenarios and edge cases at order values of 5,000 USD and 10,000 USD.</w:t>
      </w:r>
    </w:p>
    <w:p w14:paraId="0CF65BF6"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t>Test Execution Results</w:t>
      </w:r>
    </w:p>
    <w:p w14:paraId="6232A204"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 xml:space="preserve">During test execution, most test cases produced the expected results. However, </w:t>
      </w:r>
      <w:r w:rsidRPr="009C1D02">
        <w:rPr>
          <w:rFonts w:ascii="Times New Roman" w:hAnsi="Times New Roman" w:cs="Times New Roman"/>
          <w:b/>
          <w:bCs/>
          <w:sz w:val="24"/>
          <w:szCs w:val="24"/>
        </w:rPr>
        <w:t>four test cases failed</w:t>
      </w:r>
      <w:r w:rsidRPr="009C1D02">
        <w:rPr>
          <w:rFonts w:ascii="Times New Roman" w:hAnsi="Times New Roman" w:cs="Times New Roman"/>
          <w:sz w:val="24"/>
          <w:szCs w:val="24"/>
        </w:rPr>
        <w:t>, all involving boundary values. These failures highlighted issues in how the system handled order amounts exactly equal to 5,000 USD and 10,000 USD.</w:t>
      </w:r>
    </w:p>
    <w:p w14:paraId="4B7E4F64"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The failures were crucial in revealing logical weaknesses that were not obvious during initial implementation.</w:t>
      </w:r>
    </w:p>
    <w:p w14:paraId="71F8C637" w14:textId="3E2287BD" w:rsidR="002B2880" w:rsidRPr="002B2880" w:rsidRDefault="002B2880" w:rsidP="002B2880">
      <w:pPr>
        <w:jc w:val="both"/>
        <w:rPr>
          <w:rFonts w:ascii="Times New Roman" w:hAnsi="Times New Roman" w:cs="Times New Roman"/>
          <w:sz w:val="24"/>
          <w:szCs w:val="24"/>
        </w:rPr>
      </w:pPr>
      <w:r w:rsidRPr="002B2880">
        <w:rPr>
          <w:rFonts w:ascii="Times New Roman" w:hAnsi="Times New Roman" w:cs="Times New Roman"/>
          <w:sz w:val="24"/>
          <w:szCs w:val="24"/>
        </w:rPr>
        <w:br w:type="page"/>
      </w:r>
    </w:p>
    <w:p w14:paraId="69D8D3D7" w14:textId="19DA8AEF" w:rsidR="002B2880" w:rsidRPr="002B2880" w:rsidRDefault="002B2880" w:rsidP="002B2880">
      <w:pPr>
        <w:jc w:val="both"/>
        <w:rPr>
          <w:rFonts w:ascii="Times New Roman" w:hAnsi="Times New Roman" w:cs="Times New Roman"/>
          <w:b/>
          <w:bCs/>
          <w:sz w:val="24"/>
          <w:szCs w:val="24"/>
        </w:rPr>
      </w:pPr>
      <w:r w:rsidRPr="002B2880">
        <w:rPr>
          <w:rFonts w:ascii="Times New Roman" w:hAnsi="Times New Roman" w:cs="Times New Roman"/>
          <w:b/>
          <w:bCs/>
          <w:sz w:val="24"/>
          <w:szCs w:val="24"/>
        </w:rPr>
        <w:lastRenderedPageBreak/>
        <w:t>Screenshots:</w:t>
      </w:r>
    </w:p>
    <w:p w14:paraId="570E7F28" w14:textId="30CBE9F1" w:rsidR="002B2880" w:rsidRPr="002B2880" w:rsidRDefault="002B2880" w:rsidP="002B2880">
      <w:pPr>
        <w:jc w:val="both"/>
        <w:rPr>
          <w:rFonts w:ascii="Times New Roman" w:hAnsi="Times New Roman" w:cs="Times New Roman"/>
          <w:b/>
          <w:bCs/>
          <w:sz w:val="24"/>
          <w:szCs w:val="24"/>
        </w:rPr>
      </w:pPr>
      <w:r w:rsidRPr="002B2880">
        <w:rPr>
          <w:rFonts w:ascii="Times New Roman" w:hAnsi="Times New Roman" w:cs="Times New Roman"/>
          <w:b/>
          <w:bCs/>
          <w:sz w:val="24"/>
          <w:szCs w:val="24"/>
        </w:rPr>
        <w:t>Decision Table Sheet showing conditions, rules, and actions.</w:t>
      </w:r>
    </w:p>
    <w:p w14:paraId="0CC09655" w14:textId="685EFF33" w:rsidR="002B2880" w:rsidRPr="002B2880" w:rsidRDefault="002B2880" w:rsidP="002B2880">
      <w:pPr>
        <w:jc w:val="both"/>
        <w:rPr>
          <w:rFonts w:ascii="Times New Roman" w:hAnsi="Times New Roman" w:cs="Times New Roman"/>
          <w:sz w:val="24"/>
          <w:szCs w:val="24"/>
        </w:rPr>
      </w:pPr>
      <w:r w:rsidRPr="002B2880">
        <w:rPr>
          <w:rFonts w:ascii="Times New Roman" w:hAnsi="Times New Roman" w:cs="Times New Roman"/>
          <w:noProof/>
          <w:sz w:val="24"/>
          <w:szCs w:val="24"/>
        </w:rPr>
        <w:drawing>
          <wp:inline distT="0" distB="0" distL="0" distR="0" wp14:anchorId="1F713AC5" wp14:editId="609E77D0">
            <wp:extent cx="6400800" cy="3661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9221" cy="3666128"/>
                    </a:xfrm>
                    <a:prstGeom prst="rect">
                      <a:avLst/>
                    </a:prstGeom>
                  </pic:spPr>
                </pic:pic>
              </a:graphicData>
            </a:graphic>
          </wp:inline>
        </w:drawing>
      </w:r>
    </w:p>
    <w:p w14:paraId="260A61FF" w14:textId="6FBE3404" w:rsidR="002B2880" w:rsidRPr="002B2880" w:rsidRDefault="002B2880" w:rsidP="002B2880">
      <w:pPr>
        <w:jc w:val="both"/>
        <w:rPr>
          <w:rFonts w:ascii="Times New Roman" w:hAnsi="Times New Roman" w:cs="Times New Roman"/>
          <w:b/>
          <w:bCs/>
          <w:sz w:val="24"/>
          <w:szCs w:val="24"/>
        </w:rPr>
      </w:pPr>
      <w:r w:rsidRPr="002B2880">
        <w:rPr>
          <w:rFonts w:ascii="Times New Roman" w:hAnsi="Times New Roman" w:cs="Times New Roman"/>
          <w:b/>
          <w:bCs/>
          <w:sz w:val="24"/>
          <w:szCs w:val="24"/>
        </w:rPr>
        <w:t>Test Case Sheet listing test cases</w:t>
      </w:r>
      <w:r>
        <w:rPr>
          <w:rFonts w:ascii="Times New Roman" w:hAnsi="Times New Roman" w:cs="Times New Roman"/>
          <w:b/>
          <w:bCs/>
          <w:sz w:val="24"/>
          <w:szCs w:val="24"/>
        </w:rPr>
        <w:t>:</w:t>
      </w:r>
    </w:p>
    <w:p w14:paraId="7650C431" w14:textId="0F7D5A20" w:rsidR="002B2880" w:rsidRDefault="009C1D02" w:rsidP="002B2880">
      <w:pPr>
        <w:jc w:val="both"/>
        <w:rPr>
          <w:rFonts w:ascii="Times New Roman" w:hAnsi="Times New Roman" w:cs="Times New Roman"/>
          <w:sz w:val="24"/>
          <w:szCs w:val="24"/>
        </w:rPr>
      </w:pPr>
      <w:r>
        <w:rPr>
          <w:noProof/>
        </w:rPr>
        <w:drawing>
          <wp:inline distT="0" distB="0" distL="0" distR="0" wp14:anchorId="56F73AEA" wp14:editId="2ADCC420">
            <wp:extent cx="6390988" cy="291145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99759" cy="2915446"/>
                    </a:xfrm>
                    <a:prstGeom prst="rect">
                      <a:avLst/>
                    </a:prstGeom>
                  </pic:spPr>
                </pic:pic>
              </a:graphicData>
            </a:graphic>
          </wp:inline>
        </w:drawing>
      </w:r>
    </w:p>
    <w:p w14:paraId="71D34745" w14:textId="14345F06" w:rsidR="009C1D02" w:rsidRDefault="009C1D02" w:rsidP="002B2880">
      <w:pPr>
        <w:jc w:val="both"/>
        <w:rPr>
          <w:rFonts w:ascii="Times New Roman" w:hAnsi="Times New Roman" w:cs="Times New Roman"/>
          <w:sz w:val="24"/>
          <w:szCs w:val="24"/>
        </w:rPr>
      </w:pPr>
    </w:p>
    <w:p w14:paraId="382E1C48" w14:textId="77777777" w:rsidR="009C1D02" w:rsidRDefault="009C1D02">
      <w:pPr>
        <w:rPr>
          <w:rFonts w:ascii="Times New Roman" w:hAnsi="Times New Roman" w:cs="Times New Roman"/>
          <w:sz w:val="24"/>
          <w:szCs w:val="24"/>
        </w:rPr>
      </w:pPr>
      <w:r>
        <w:rPr>
          <w:rFonts w:ascii="Times New Roman" w:hAnsi="Times New Roman" w:cs="Times New Roman"/>
          <w:sz w:val="24"/>
          <w:szCs w:val="24"/>
        </w:rPr>
        <w:br w:type="page"/>
      </w:r>
    </w:p>
    <w:p w14:paraId="0DE8098A"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lastRenderedPageBreak/>
        <w:t>Bug Identification</w:t>
      </w:r>
    </w:p>
    <w:p w14:paraId="19C2AF61"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The identified defects were related to incorrect handling of boundary conditions. Specifically, order values exactly equal to the boundary limits were categorized into lower discount ranges than expected.</w:t>
      </w:r>
    </w:p>
    <w:tbl>
      <w:tblPr>
        <w:tblStyle w:val="TableGrid"/>
        <w:tblW w:w="10144" w:type="dxa"/>
        <w:tblLook w:val="04A0" w:firstRow="1" w:lastRow="0" w:firstColumn="1" w:lastColumn="0" w:noHBand="0" w:noVBand="1"/>
      </w:tblPr>
      <w:tblGrid>
        <w:gridCol w:w="944"/>
        <w:gridCol w:w="4172"/>
        <w:gridCol w:w="991"/>
        <w:gridCol w:w="1163"/>
        <w:gridCol w:w="896"/>
        <w:gridCol w:w="1978"/>
      </w:tblGrid>
      <w:tr w:rsidR="009C1D02" w:rsidRPr="009C1D02" w14:paraId="7BB63CE0" w14:textId="77777777" w:rsidTr="009C1D02">
        <w:trPr>
          <w:trHeight w:val="526"/>
        </w:trPr>
        <w:tc>
          <w:tcPr>
            <w:tcW w:w="0" w:type="auto"/>
            <w:vAlign w:val="center"/>
            <w:hideMark/>
          </w:tcPr>
          <w:p w14:paraId="5FC58A93" w14:textId="77777777" w:rsidR="009C1D02" w:rsidRPr="009C1D02" w:rsidRDefault="009C1D02" w:rsidP="009C1D02">
            <w:pPr>
              <w:spacing w:after="160" w:line="259" w:lineRule="auto"/>
              <w:jc w:val="center"/>
              <w:rPr>
                <w:rFonts w:ascii="Times New Roman" w:hAnsi="Times New Roman" w:cs="Times New Roman"/>
                <w:b/>
                <w:bCs/>
                <w:sz w:val="24"/>
                <w:szCs w:val="24"/>
              </w:rPr>
            </w:pPr>
            <w:r w:rsidRPr="009C1D02">
              <w:rPr>
                <w:rFonts w:ascii="Times New Roman" w:hAnsi="Times New Roman" w:cs="Times New Roman"/>
                <w:b/>
                <w:bCs/>
                <w:sz w:val="24"/>
                <w:szCs w:val="24"/>
              </w:rPr>
              <w:t>Bug ID</w:t>
            </w:r>
          </w:p>
        </w:tc>
        <w:tc>
          <w:tcPr>
            <w:tcW w:w="0" w:type="auto"/>
            <w:vAlign w:val="center"/>
            <w:hideMark/>
          </w:tcPr>
          <w:p w14:paraId="38621214" w14:textId="77777777" w:rsidR="009C1D02" w:rsidRPr="009C1D02" w:rsidRDefault="009C1D02" w:rsidP="009C1D02">
            <w:pPr>
              <w:spacing w:after="160" w:line="259" w:lineRule="auto"/>
              <w:jc w:val="center"/>
              <w:rPr>
                <w:rFonts w:ascii="Times New Roman" w:hAnsi="Times New Roman" w:cs="Times New Roman"/>
                <w:b/>
                <w:bCs/>
                <w:sz w:val="24"/>
                <w:szCs w:val="24"/>
              </w:rPr>
            </w:pPr>
            <w:r w:rsidRPr="009C1D02">
              <w:rPr>
                <w:rFonts w:ascii="Times New Roman" w:hAnsi="Times New Roman" w:cs="Times New Roman"/>
                <w:b/>
                <w:bCs/>
                <w:sz w:val="24"/>
                <w:szCs w:val="24"/>
              </w:rPr>
              <w:t>Description</w:t>
            </w:r>
          </w:p>
        </w:tc>
        <w:tc>
          <w:tcPr>
            <w:tcW w:w="0" w:type="auto"/>
            <w:vAlign w:val="center"/>
            <w:hideMark/>
          </w:tcPr>
          <w:p w14:paraId="255C5997" w14:textId="77777777" w:rsidR="009C1D02" w:rsidRPr="009C1D02" w:rsidRDefault="009C1D02" w:rsidP="009C1D02">
            <w:pPr>
              <w:spacing w:after="160" w:line="259" w:lineRule="auto"/>
              <w:jc w:val="center"/>
              <w:rPr>
                <w:rFonts w:ascii="Times New Roman" w:hAnsi="Times New Roman" w:cs="Times New Roman"/>
                <w:b/>
                <w:bCs/>
                <w:sz w:val="24"/>
                <w:szCs w:val="24"/>
              </w:rPr>
            </w:pPr>
            <w:r w:rsidRPr="009C1D02">
              <w:rPr>
                <w:rFonts w:ascii="Times New Roman" w:hAnsi="Times New Roman" w:cs="Times New Roman"/>
                <w:b/>
                <w:bCs/>
                <w:sz w:val="24"/>
                <w:szCs w:val="24"/>
              </w:rPr>
              <w:t>Test Case</w:t>
            </w:r>
          </w:p>
        </w:tc>
        <w:tc>
          <w:tcPr>
            <w:tcW w:w="0" w:type="auto"/>
            <w:vAlign w:val="center"/>
            <w:hideMark/>
          </w:tcPr>
          <w:p w14:paraId="62E5C4E7" w14:textId="77777777" w:rsidR="009C1D02" w:rsidRPr="009C1D02" w:rsidRDefault="009C1D02" w:rsidP="009C1D02">
            <w:pPr>
              <w:spacing w:after="160" w:line="259" w:lineRule="auto"/>
              <w:jc w:val="center"/>
              <w:rPr>
                <w:rFonts w:ascii="Times New Roman" w:hAnsi="Times New Roman" w:cs="Times New Roman"/>
                <w:b/>
                <w:bCs/>
                <w:sz w:val="24"/>
                <w:szCs w:val="24"/>
              </w:rPr>
            </w:pPr>
            <w:r w:rsidRPr="009C1D02">
              <w:rPr>
                <w:rFonts w:ascii="Times New Roman" w:hAnsi="Times New Roman" w:cs="Times New Roman"/>
                <w:b/>
                <w:bCs/>
                <w:sz w:val="24"/>
                <w:szCs w:val="24"/>
              </w:rPr>
              <w:t>Expected</w:t>
            </w:r>
          </w:p>
        </w:tc>
        <w:tc>
          <w:tcPr>
            <w:tcW w:w="0" w:type="auto"/>
            <w:vAlign w:val="center"/>
            <w:hideMark/>
          </w:tcPr>
          <w:p w14:paraId="23BFC3F6" w14:textId="77777777" w:rsidR="009C1D02" w:rsidRPr="009C1D02" w:rsidRDefault="009C1D02" w:rsidP="009C1D02">
            <w:pPr>
              <w:spacing w:after="160" w:line="259" w:lineRule="auto"/>
              <w:jc w:val="center"/>
              <w:rPr>
                <w:rFonts w:ascii="Times New Roman" w:hAnsi="Times New Roman" w:cs="Times New Roman"/>
                <w:b/>
                <w:bCs/>
                <w:sz w:val="24"/>
                <w:szCs w:val="24"/>
              </w:rPr>
            </w:pPr>
            <w:r w:rsidRPr="009C1D02">
              <w:rPr>
                <w:rFonts w:ascii="Times New Roman" w:hAnsi="Times New Roman" w:cs="Times New Roman"/>
                <w:b/>
                <w:bCs/>
                <w:sz w:val="24"/>
                <w:szCs w:val="24"/>
              </w:rPr>
              <w:t>Actual</w:t>
            </w:r>
          </w:p>
        </w:tc>
        <w:tc>
          <w:tcPr>
            <w:tcW w:w="0" w:type="auto"/>
            <w:vAlign w:val="center"/>
            <w:hideMark/>
          </w:tcPr>
          <w:p w14:paraId="0ECD7961" w14:textId="77777777" w:rsidR="009C1D02" w:rsidRPr="009C1D02" w:rsidRDefault="009C1D02" w:rsidP="009C1D02">
            <w:pPr>
              <w:spacing w:after="160" w:line="259" w:lineRule="auto"/>
              <w:jc w:val="center"/>
              <w:rPr>
                <w:rFonts w:ascii="Times New Roman" w:hAnsi="Times New Roman" w:cs="Times New Roman"/>
                <w:b/>
                <w:bCs/>
                <w:sz w:val="24"/>
                <w:szCs w:val="24"/>
              </w:rPr>
            </w:pPr>
            <w:r w:rsidRPr="009C1D02">
              <w:rPr>
                <w:rFonts w:ascii="Times New Roman" w:hAnsi="Times New Roman" w:cs="Times New Roman"/>
                <w:b/>
                <w:bCs/>
                <w:sz w:val="24"/>
                <w:szCs w:val="24"/>
              </w:rPr>
              <w:t>Remarks</w:t>
            </w:r>
          </w:p>
        </w:tc>
      </w:tr>
      <w:tr w:rsidR="009C1D02" w:rsidRPr="009C1D02" w14:paraId="5C3FA2DD" w14:textId="77777777" w:rsidTr="009C1D02">
        <w:trPr>
          <w:trHeight w:val="526"/>
        </w:trPr>
        <w:tc>
          <w:tcPr>
            <w:tcW w:w="0" w:type="auto"/>
            <w:vAlign w:val="center"/>
            <w:hideMark/>
          </w:tcPr>
          <w:p w14:paraId="194A57E3"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BUG-01</w:t>
            </w:r>
          </w:p>
        </w:tc>
        <w:tc>
          <w:tcPr>
            <w:tcW w:w="0" w:type="auto"/>
            <w:vAlign w:val="center"/>
            <w:hideMark/>
          </w:tcPr>
          <w:p w14:paraId="541A5257"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Corporate order of exactly 5,000 USD treated as below 5,000</w:t>
            </w:r>
          </w:p>
        </w:tc>
        <w:tc>
          <w:tcPr>
            <w:tcW w:w="0" w:type="auto"/>
            <w:vAlign w:val="center"/>
            <w:hideMark/>
          </w:tcPr>
          <w:p w14:paraId="10D5BA43"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TC-11</w:t>
            </w:r>
          </w:p>
        </w:tc>
        <w:tc>
          <w:tcPr>
            <w:tcW w:w="0" w:type="auto"/>
            <w:vAlign w:val="center"/>
            <w:hideMark/>
          </w:tcPr>
          <w:p w14:paraId="725749F8"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10%</w:t>
            </w:r>
          </w:p>
        </w:tc>
        <w:tc>
          <w:tcPr>
            <w:tcW w:w="0" w:type="auto"/>
            <w:vAlign w:val="center"/>
            <w:hideMark/>
          </w:tcPr>
          <w:p w14:paraId="19BDA0B0"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7%</w:t>
            </w:r>
          </w:p>
        </w:tc>
        <w:tc>
          <w:tcPr>
            <w:tcW w:w="0" w:type="auto"/>
            <w:vAlign w:val="center"/>
            <w:hideMark/>
          </w:tcPr>
          <w:p w14:paraId="1ACA4181"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Lower bound excluded</w:t>
            </w:r>
          </w:p>
        </w:tc>
      </w:tr>
      <w:tr w:rsidR="009C1D02" w:rsidRPr="009C1D02" w14:paraId="7CA94C14" w14:textId="77777777" w:rsidTr="009C1D02">
        <w:trPr>
          <w:trHeight w:val="526"/>
        </w:trPr>
        <w:tc>
          <w:tcPr>
            <w:tcW w:w="0" w:type="auto"/>
            <w:vAlign w:val="center"/>
            <w:hideMark/>
          </w:tcPr>
          <w:p w14:paraId="1057F08C"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BUG-02</w:t>
            </w:r>
          </w:p>
        </w:tc>
        <w:tc>
          <w:tcPr>
            <w:tcW w:w="0" w:type="auto"/>
            <w:vAlign w:val="center"/>
            <w:hideMark/>
          </w:tcPr>
          <w:p w14:paraId="18B3F2CB"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Corporate order of exactly 10,000 USD treated as mid-range</w:t>
            </w:r>
          </w:p>
        </w:tc>
        <w:tc>
          <w:tcPr>
            <w:tcW w:w="0" w:type="auto"/>
            <w:vAlign w:val="center"/>
            <w:hideMark/>
          </w:tcPr>
          <w:p w14:paraId="4A76179C"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TC-12</w:t>
            </w:r>
          </w:p>
        </w:tc>
        <w:tc>
          <w:tcPr>
            <w:tcW w:w="0" w:type="auto"/>
            <w:vAlign w:val="center"/>
            <w:hideMark/>
          </w:tcPr>
          <w:p w14:paraId="2F74888D"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12%</w:t>
            </w:r>
          </w:p>
        </w:tc>
        <w:tc>
          <w:tcPr>
            <w:tcW w:w="0" w:type="auto"/>
            <w:vAlign w:val="center"/>
            <w:hideMark/>
          </w:tcPr>
          <w:p w14:paraId="24A74AA3"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10%</w:t>
            </w:r>
          </w:p>
        </w:tc>
        <w:tc>
          <w:tcPr>
            <w:tcW w:w="0" w:type="auto"/>
            <w:vAlign w:val="center"/>
            <w:hideMark/>
          </w:tcPr>
          <w:p w14:paraId="40E718A5"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Upper bound excluded</w:t>
            </w:r>
          </w:p>
        </w:tc>
      </w:tr>
      <w:tr w:rsidR="009C1D02" w:rsidRPr="009C1D02" w14:paraId="6987C035" w14:textId="77777777" w:rsidTr="009C1D02">
        <w:trPr>
          <w:trHeight w:val="509"/>
        </w:trPr>
        <w:tc>
          <w:tcPr>
            <w:tcW w:w="0" w:type="auto"/>
            <w:vAlign w:val="center"/>
            <w:hideMark/>
          </w:tcPr>
          <w:p w14:paraId="05D888D1"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BUG-03</w:t>
            </w:r>
          </w:p>
        </w:tc>
        <w:tc>
          <w:tcPr>
            <w:tcW w:w="0" w:type="auto"/>
            <w:vAlign w:val="center"/>
            <w:hideMark/>
          </w:tcPr>
          <w:p w14:paraId="5F055C9E"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Standard order of exactly 5,000 USD treated as below range</w:t>
            </w:r>
          </w:p>
        </w:tc>
        <w:tc>
          <w:tcPr>
            <w:tcW w:w="0" w:type="auto"/>
            <w:vAlign w:val="center"/>
            <w:hideMark/>
          </w:tcPr>
          <w:p w14:paraId="6BBEF70E"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TC-13</w:t>
            </w:r>
          </w:p>
        </w:tc>
        <w:tc>
          <w:tcPr>
            <w:tcW w:w="0" w:type="auto"/>
            <w:vAlign w:val="center"/>
            <w:hideMark/>
          </w:tcPr>
          <w:p w14:paraId="1818D63D"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5%</w:t>
            </w:r>
          </w:p>
        </w:tc>
        <w:tc>
          <w:tcPr>
            <w:tcW w:w="0" w:type="auto"/>
            <w:vAlign w:val="center"/>
            <w:hideMark/>
          </w:tcPr>
          <w:p w14:paraId="0BDFA945"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0%</w:t>
            </w:r>
          </w:p>
        </w:tc>
        <w:tc>
          <w:tcPr>
            <w:tcW w:w="0" w:type="auto"/>
            <w:vAlign w:val="center"/>
            <w:hideMark/>
          </w:tcPr>
          <w:p w14:paraId="1E6D7E01"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Boundary not included</w:t>
            </w:r>
          </w:p>
        </w:tc>
      </w:tr>
      <w:tr w:rsidR="009C1D02" w:rsidRPr="009C1D02" w14:paraId="615771D2" w14:textId="77777777" w:rsidTr="009C1D02">
        <w:trPr>
          <w:trHeight w:val="542"/>
        </w:trPr>
        <w:tc>
          <w:tcPr>
            <w:tcW w:w="0" w:type="auto"/>
            <w:vAlign w:val="center"/>
            <w:hideMark/>
          </w:tcPr>
          <w:p w14:paraId="17E594E9"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BUG-04</w:t>
            </w:r>
          </w:p>
        </w:tc>
        <w:tc>
          <w:tcPr>
            <w:tcW w:w="0" w:type="auto"/>
            <w:vAlign w:val="center"/>
            <w:hideMark/>
          </w:tcPr>
          <w:p w14:paraId="5D8E7873"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Standard order of exactly 10,000 USD treated as mid-range</w:t>
            </w:r>
          </w:p>
        </w:tc>
        <w:tc>
          <w:tcPr>
            <w:tcW w:w="0" w:type="auto"/>
            <w:vAlign w:val="center"/>
            <w:hideMark/>
          </w:tcPr>
          <w:p w14:paraId="3DAFAA65"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TC-14</w:t>
            </w:r>
          </w:p>
        </w:tc>
        <w:tc>
          <w:tcPr>
            <w:tcW w:w="0" w:type="auto"/>
            <w:vAlign w:val="center"/>
            <w:hideMark/>
          </w:tcPr>
          <w:p w14:paraId="1728BDA2"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10%</w:t>
            </w:r>
          </w:p>
        </w:tc>
        <w:tc>
          <w:tcPr>
            <w:tcW w:w="0" w:type="auto"/>
            <w:vAlign w:val="center"/>
            <w:hideMark/>
          </w:tcPr>
          <w:p w14:paraId="10FFBAA2"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5%</w:t>
            </w:r>
          </w:p>
        </w:tc>
        <w:tc>
          <w:tcPr>
            <w:tcW w:w="0" w:type="auto"/>
            <w:vAlign w:val="center"/>
            <w:hideMark/>
          </w:tcPr>
          <w:p w14:paraId="3DA796F8" w14:textId="77777777" w:rsidR="009C1D02" w:rsidRPr="009C1D02" w:rsidRDefault="009C1D02" w:rsidP="009C1D02">
            <w:pPr>
              <w:spacing w:after="160" w:line="259" w:lineRule="auto"/>
              <w:jc w:val="center"/>
              <w:rPr>
                <w:rFonts w:ascii="Times New Roman" w:hAnsi="Times New Roman" w:cs="Times New Roman"/>
                <w:sz w:val="24"/>
                <w:szCs w:val="24"/>
              </w:rPr>
            </w:pPr>
            <w:r w:rsidRPr="009C1D02">
              <w:rPr>
                <w:rFonts w:ascii="Times New Roman" w:hAnsi="Times New Roman" w:cs="Times New Roman"/>
                <w:sz w:val="24"/>
                <w:szCs w:val="24"/>
              </w:rPr>
              <w:t>Incorrect comparison</w:t>
            </w:r>
          </w:p>
        </w:tc>
      </w:tr>
    </w:tbl>
    <w:p w14:paraId="62DB3B6B"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t>Root Cause Analysis</w:t>
      </w:r>
    </w:p>
    <w:p w14:paraId="0F8350F7"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 xml:space="preserve">The root cause of all detected bugs lies in the use of </w:t>
      </w:r>
      <w:r w:rsidRPr="009C1D02">
        <w:rPr>
          <w:rFonts w:ascii="Times New Roman" w:hAnsi="Times New Roman" w:cs="Times New Roman"/>
          <w:b/>
          <w:bCs/>
          <w:sz w:val="24"/>
          <w:szCs w:val="24"/>
        </w:rPr>
        <w:t>strict comparison operators (&gt;)</w:t>
      </w:r>
      <w:r w:rsidRPr="009C1D02">
        <w:rPr>
          <w:rFonts w:ascii="Times New Roman" w:hAnsi="Times New Roman" w:cs="Times New Roman"/>
          <w:sz w:val="24"/>
          <w:szCs w:val="24"/>
        </w:rPr>
        <w:t xml:space="preserve"> in the discount calculation logic. These operators exclude values that are exactly equal to the boundary thresholds, causing them to fall into incorrect discount categories.</w:t>
      </w:r>
    </w:p>
    <w:p w14:paraId="55392865"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t>Resolution</w:t>
      </w:r>
    </w:p>
    <w:p w14:paraId="0CCF9D8F"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To fix the issue, the conditional statements must include equality checks at the boundary limits. The corrected logic should use inclusive comparisons so that values equal to 5,000 USD and 10,000 USD are assigned to the appropriate discount tiers.</w:t>
      </w:r>
    </w:p>
    <w:p w14:paraId="13DC3BE3"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Example correction:</w:t>
      </w:r>
    </w:p>
    <w:p w14:paraId="02F22B24" w14:textId="77777777" w:rsidR="009C1D02" w:rsidRPr="009C1D02" w:rsidRDefault="009C1D02" w:rsidP="009C1D02">
      <w:pPr>
        <w:numPr>
          <w:ilvl w:val="0"/>
          <w:numId w:val="4"/>
        </w:numPr>
        <w:jc w:val="both"/>
        <w:rPr>
          <w:rFonts w:ascii="Times New Roman" w:hAnsi="Times New Roman" w:cs="Times New Roman"/>
          <w:sz w:val="24"/>
          <w:szCs w:val="24"/>
        </w:rPr>
      </w:pPr>
      <w:r w:rsidRPr="009C1D02">
        <w:rPr>
          <w:rFonts w:ascii="Times New Roman" w:hAnsi="Times New Roman" w:cs="Times New Roman"/>
          <w:sz w:val="24"/>
          <w:szCs w:val="24"/>
        </w:rPr>
        <w:t>Use &gt;= 10000 for upper-tier discounts</w:t>
      </w:r>
    </w:p>
    <w:p w14:paraId="1F6DB5FC" w14:textId="77777777" w:rsidR="009C1D02" w:rsidRPr="009C1D02" w:rsidRDefault="009C1D02" w:rsidP="009C1D02">
      <w:pPr>
        <w:numPr>
          <w:ilvl w:val="0"/>
          <w:numId w:val="4"/>
        </w:numPr>
        <w:jc w:val="both"/>
        <w:rPr>
          <w:rFonts w:ascii="Times New Roman" w:hAnsi="Times New Roman" w:cs="Times New Roman"/>
          <w:sz w:val="24"/>
          <w:szCs w:val="24"/>
        </w:rPr>
      </w:pPr>
      <w:r w:rsidRPr="009C1D02">
        <w:rPr>
          <w:rFonts w:ascii="Times New Roman" w:hAnsi="Times New Roman" w:cs="Times New Roman"/>
          <w:sz w:val="24"/>
          <w:szCs w:val="24"/>
        </w:rPr>
        <w:t xml:space="preserve">Use 5000 &lt;= </w:t>
      </w:r>
      <w:proofErr w:type="spellStart"/>
      <w:r w:rsidRPr="009C1D02">
        <w:rPr>
          <w:rFonts w:ascii="Times New Roman" w:hAnsi="Times New Roman" w:cs="Times New Roman"/>
          <w:sz w:val="24"/>
          <w:szCs w:val="24"/>
        </w:rPr>
        <w:t>order_value</w:t>
      </w:r>
      <w:proofErr w:type="spellEnd"/>
      <w:r w:rsidRPr="009C1D02">
        <w:rPr>
          <w:rFonts w:ascii="Times New Roman" w:hAnsi="Times New Roman" w:cs="Times New Roman"/>
          <w:sz w:val="24"/>
          <w:szCs w:val="24"/>
        </w:rPr>
        <w:t xml:space="preserve"> &lt; 10000 for mid-tier discounts</w:t>
      </w:r>
    </w:p>
    <w:p w14:paraId="4EEB36FA"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After applying these corrections, the discount logic was revalidated and all test cases produced the expected results.</w:t>
      </w:r>
    </w:p>
    <w:p w14:paraId="39C0C7A5" w14:textId="77777777" w:rsidR="009C1D02" w:rsidRPr="009C1D02" w:rsidRDefault="009C1D02" w:rsidP="009C1D02">
      <w:pPr>
        <w:jc w:val="both"/>
        <w:rPr>
          <w:rFonts w:ascii="Times New Roman" w:hAnsi="Times New Roman" w:cs="Times New Roman"/>
          <w:b/>
          <w:bCs/>
          <w:sz w:val="24"/>
          <w:szCs w:val="24"/>
        </w:rPr>
      </w:pPr>
      <w:r w:rsidRPr="009C1D02">
        <w:rPr>
          <w:rFonts w:ascii="Times New Roman" w:hAnsi="Times New Roman" w:cs="Times New Roman"/>
          <w:b/>
          <w:bCs/>
          <w:sz w:val="24"/>
          <w:szCs w:val="24"/>
        </w:rPr>
        <w:t>Conclusion</w:t>
      </w:r>
    </w:p>
    <w:p w14:paraId="33B7DB1C" w14:textId="77777777" w:rsidR="009C1D02" w:rsidRPr="009C1D02" w:rsidRDefault="009C1D02" w:rsidP="009C1D02">
      <w:pPr>
        <w:jc w:val="both"/>
        <w:rPr>
          <w:rFonts w:ascii="Times New Roman" w:hAnsi="Times New Roman" w:cs="Times New Roman"/>
          <w:sz w:val="24"/>
          <w:szCs w:val="24"/>
        </w:rPr>
      </w:pPr>
      <w:r w:rsidRPr="009C1D02">
        <w:rPr>
          <w:rFonts w:ascii="Times New Roman" w:hAnsi="Times New Roman" w:cs="Times New Roman"/>
          <w:sz w:val="24"/>
          <w:szCs w:val="24"/>
        </w:rPr>
        <w:t xml:space="preserve">This experiment demonstrates the effectiveness of </w:t>
      </w:r>
      <w:r w:rsidRPr="009C1D02">
        <w:rPr>
          <w:rFonts w:ascii="Times New Roman" w:hAnsi="Times New Roman" w:cs="Times New Roman"/>
          <w:b/>
          <w:bCs/>
          <w:sz w:val="24"/>
          <w:szCs w:val="24"/>
        </w:rPr>
        <w:t>Decision Table–Based Testing</w:t>
      </w:r>
      <w:r w:rsidRPr="009C1D02">
        <w:rPr>
          <w:rFonts w:ascii="Times New Roman" w:hAnsi="Times New Roman" w:cs="Times New Roman"/>
          <w:sz w:val="24"/>
          <w:szCs w:val="24"/>
        </w:rPr>
        <w:t xml:space="preserve"> in validating systems that involve multiple interdependent conditions. By systematically mapping conditions to actions, decision tables simplify test design and ensure complete logical coverage. The testing process successfully identified boundary-related defects that could easily be overlooked. Once corrected, the system behaved accurately across all scenarios, confirming the reliability of the discount calculation module.</w:t>
      </w:r>
    </w:p>
    <w:sectPr w:rsidR="009C1D02" w:rsidRPr="009C1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61368D"/>
    <w:multiLevelType w:val="multilevel"/>
    <w:tmpl w:val="160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B8009A"/>
    <w:multiLevelType w:val="multilevel"/>
    <w:tmpl w:val="646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71368C"/>
    <w:multiLevelType w:val="multilevel"/>
    <w:tmpl w:val="AF2A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254D7"/>
    <w:multiLevelType w:val="multilevel"/>
    <w:tmpl w:val="1F66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829833">
    <w:abstractNumId w:val="3"/>
  </w:num>
  <w:num w:numId="2" w16cid:durableId="766344517">
    <w:abstractNumId w:val="2"/>
  </w:num>
  <w:num w:numId="3" w16cid:durableId="840630331">
    <w:abstractNumId w:val="1"/>
  </w:num>
  <w:num w:numId="4" w16cid:durableId="77806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80"/>
    <w:rsid w:val="002B2880"/>
    <w:rsid w:val="00890FD4"/>
    <w:rsid w:val="009C1D02"/>
    <w:rsid w:val="00A00775"/>
    <w:rsid w:val="00A31DEB"/>
    <w:rsid w:val="00C35ACC"/>
    <w:rsid w:val="00C4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24C2"/>
  <w15:chartTrackingRefBased/>
  <w15:docId w15:val="{0F524991-4DE0-4C26-A39E-0338C551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1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337">
      <w:bodyDiv w:val="1"/>
      <w:marLeft w:val="0"/>
      <w:marRight w:val="0"/>
      <w:marTop w:val="0"/>
      <w:marBottom w:val="0"/>
      <w:divBdr>
        <w:top w:val="none" w:sz="0" w:space="0" w:color="auto"/>
        <w:left w:val="none" w:sz="0" w:space="0" w:color="auto"/>
        <w:bottom w:val="none" w:sz="0" w:space="0" w:color="auto"/>
        <w:right w:val="none" w:sz="0" w:space="0" w:color="auto"/>
      </w:divBdr>
    </w:div>
    <w:div w:id="77873240">
      <w:bodyDiv w:val="1"/>
      <w:marLeft w:val="0"/>
      <w:marRight w:val="0"/>
      <w:marTop w:val="0"/>
      <w:marBottom w:val="0"/>
      <w:divBdr>
        <w:top w:val="none" w:sz="0" w:space="0" w:color="auto"/>
        <w:left w:val="none" w:sz="0" w:space="0" w:color="auto"/>
        <w:bottom w:val="none" w:sz="0" w:space="0" w:color="auto"/>
        <w:right w:val="none" w:sz="0" w:space="0" w:color="auto"/>
      </w:divBdr>
    </w:div>
    <w:div w:id="220095257">
      <w:bodyDiv w:val="1"/>
      <w:marLeft w:val="0"/>
      <w:marRight w:val="0"/>
      <w:marTop w:val="0"/>
      <w:marBottom w:val="0"/>
      <w:divBdr>
        <w:top w:val="none" w:sz="0" w:space="0" w:color="auto"/>
        <w:left w:val="none" w:sz="0" w:space="0" w:color="auto"/>
        <w:bottom w:val="none" w:sz="0" w:space="0" w:color="auto"/>
        <w:right w:val="none" w:sz="0" w:space="0" w:color="auto"/>
      </w:divBdr>
    </w:div>
    <w:div w:id="381255381">
      <w:bodyDiv w:val="1"/>
      <w:marLeft w:val="0"/>
      <w:marRight w:val="0"/>
      <w:marTop w:val="0"/>
      <w:marBottom w:val="0"/>
      <w:divBdr>
        <w:top w:val="none" w:sz="0" w:space="0" w:color="auto"/>
        <w:left w:val="none" w:sz="0" w:space="0" w:color="auto"/>
        <w:bottom w:val="none" w:sz="0" w:space="0" w:color="auto"/>
        <w:right w:val="none" w:sz="0" w:space="0" w:color="auto"/>
      </w:divBdr>
    </w:div>
    <w:div w:id="420294249">
      <w:bodyDiv w:val="1"/>
      <w:marLeft w:val="0"/>
      <w:marRight w:val="0"/>
      <w:marTop w:val="0"/>
      <w:marBottom w:val="0"/>
      <w:divBdr>
        <w:top w:val="none" w:sz="0" w:space="0" w:color="auto"/>
        <w:left w:val="none" w:sz="0" w:space="0" w:color="auto"/>
        <w:bottom w:val="none" w:sz="0" w:space="0" w:color="auto"/>
        <w:right w:val="none" w:sz="0" w:space="0" w:color="auto"/>
      </w:divBdr>
    </w:div>
    <w:div w:id="485900739">
      <w:bodyDiv w:val="1"/>
      <w:marLeft w:val="0"/>
      <w:marRight w:val="0"/>
      <w:marTop w:val="0"/>
      <w:marBottom w:val="0"/>
      <w:divBdr>
        <w:top w:val="none" w:sz="0" w:space="0" w:color="auto"/>
        <w:left w:val="none" w:sz="0" w:space="0" w:color="auto"/>
        <w:bottom w:val="none" w:sz="0" w:space="0" w:color="auto"/>
        <w:right w:val="none" w:sz="0" w:space="0" w:color="auto"/>
      </w:divBdr>
    </w:div>
    <w:div w:id="591817010">
      <w:bodyDiv w:val="1"/>
      <w:marLeft w:val="0"/>
      <w:marRight w:val="0"/>
      <w:marTop w:val="0"/>
      <w:marBottom w:val="0"/>
      <w:divBdr>
        <w:top w:val="none" w:sz="0" w:space="0" w:color="auto"/>
        <w:left w:val="none" w:sz="0" w:space="0" w:color="auto"/>
        <w:bottom w:val="none" w:sz="0" w:space="0" w:color="auto"/>
        <w:right w:val="none" w:sz="0" w:space="0" w:color="auto"/>
      </w:divBdr>
    </w:div>
    <w:div w:id="610085351">
      <w:bodyDiv w:val="1"/>
      <w:marLeft w:val="0"/>
      <w:marRight w:val="0"/>
      <w:marTop w:val="0"/>
      <w:marBottom w:val="0"/>
      <w:divBdr>
        <w:top w:val="none" w:sz="0" w:space="0" w:color="auto"/>
        <w:left w:val="none" w:sz="0" w:space="0" w:color="auto"/>
        <w:bottom w:val="none" w:sz="0" w:space="0" w:color="auto"/>
        <w:right w:val="none" w:sz="0" w:space="0" w:color="auto"/>
      </w:divBdr>
    </w:div>
    <w:div w:id="625088712">
      <w:bodyDiv w:val="1"/>
      <w:marLeft w:val="0"/>
      <w:marRight w:val="0"/>
      <w:marTop w:val="0"/>
      <w:marBottom w:val="0"/>
      <w:divBdr>
        <w:top w:val="none" w:sz="0" w:space="0" w:color="auto"/>
        <w:left w:val="none" w:sz="0" w:space="0" w:color="auto"/>
        <w:bottom w:val="none" w:sz="0" w:space="0" w:color="auto"/>
        <w:right w:val="none" w:sz="0" w:space="0" w:color="auto"/>
      </w:divBdr>
    </w:div>
    <w:div w:id="836772084">
      <w:bodyDiv w:val="1"/>
      <w:marLeft w:val="0"/>
      <w:marRight w:val="0"/>
      <w:marTop w:val="0"/>
      <w:marBottom w:val="0"/>
      <w:divBdr>
        <w:top w:val="none" w:sz="0" w:space="0" w:color="auto"/>
        <w:left w:val="none" w:sz="0" w:space="0" w:color="auto"/>
        <w:bottom w:val="none" w:sz="0" w:space="0" w:color="auto"/>
        <w:right w:val="none" w:sz="0" w:space="0" w:color="auto"/>
      </w:divBdr>
    </w:div>
    <w:div w:id="1064329588">
      <w:bodyDiv w:val="1"/>
      <w:marLeft w:val="0"/>
      <w:marRight w:val="0"/>
      <w:marTop w:val="0"/>
      <w:marBottom w:val="0"/>
      <w:divBdr>
        <w:top w:val="none" w:sz="0" w:space="0" w:color="auto"/>
        <w:left w:val="none" w:sz="0" w:space="0" w:color="auto"/>
        <w:bottom w:val="none" w:sz="0" w:space="0" w:color="auto"/>
        <w:right w:val="none" w:sz="0" w:space="0" w:color="auto"/>
      </w:divBdr>
    </w:div>
    <w:div w:id="1099833619">
      <w:bodyDiv w:val="1"/>
      <w:marLeft w:val="0"/>
      <w:marRight w:val="0"/>
      <w:marTop w:val="0"/>
      <w:marBottom w:val="0"/>
      <w:divBdr>
        <w:top w:val="none" w:sz="0" w:space="0" w:color="auto"/>
        <w:left w:val="none" w:sz="0" w:space="0" w:color="auto"/>
        <w:bottom w:val="none" w:sz="0" w:space="0" w:color="auto"/>
        <w:right w:val="none" w:sz="0" w:space="0" w:color="auto"/>
      </w:divBdr>
    </w:div>
    <w:div w:id="1118372670">
      <w:bodyDiv w:val="1"/>
      <w:marLeft w:val="0"/>
      <w:marRight w:val="0"/>
      <w:marTop w:val="0"/>
      <w:marBottom w:val="0"/>
      <w:divBdr>
        <w:top w:val="none" w:sz="0" w:space="0" w:color="auto"/>
        <w:left w:val="none" w:sz="0" w:space="0" w:color="auto"/>
        <w:bottom w:val="none" w:sz="0" w:space="0" w:color="auto"/>
        <w:right w:val="none" w:sz="0" w:space="0" w:color="auto"/>
      </w:divBdr>
    </w:div>
    <w:div w:id="1586262053">
      <w:bodyDiv w:val="1"/>
      <w:marLeft w:val="0"/>
      <w:marRight w:val="0"/>
      <w:marTop w:val="0"/>
      <w:marBottom w:val="0"/>
      <w:divBdr>
        <w:top w:val="none" w:sz="0" w:space="0" w:color="auto"/>
        <w:left w:val="none" w:sz="0" w:space="0" w:color="auto"/>
        <w:bottom w:val="none" w:sz="0" w:space="0" w:color="auto"/>
        <w:right w:val="none" w:sz="0" w:space="0" w:color="auto"/>
      </w:divBdr>
    </w:div>
    <w:div w:id="1668289373">
      <w:bodyDiv w:val="1"/>
      <w:marLeft w:val="0"/>
      <w:marRight w:val="0"/>
      <w:marTop w:val="0"/>
      <w:marBottom w:val="0"/>
      <w:divBdr>
        <w:top w:val="none" w:sz="0" w:space="0" w:color="auto"/>
        <w:left w:val="none" w:sz="0" w:space="0" w:color="auto"/>
        <w:bottom w:val="none" w:sz="0" w:space="0" w:color="auto"/>
        <w:right w:val="none" w:sz="0" w:space="0" w:color="auto"/>
      </w:divBdr>
    </w:div>
    <w:div w:id="1673291061">
      <w:bodyDiv w:val="1"/>
      <w:marLeft w:val="0"/>
      <w:marRight w:val="0"/>
      <w:marTop w:val="0"/>
      <w:marBottom w:val="0"/>
      <w:divBdr>
        <w:top w:val="none" w:sz="0" w:space="0" w:color="auto"/>
        <w:left w:val="none" w:sz="0" w:space="0" w:color="auto"/>
        <w:bottom w:val="none" w:sz="0" w:space="0" w:color="auto"/>
        <w:right w:val="none" w:sz="0" w:space="0" w:color="auto"/>
      </w:divBdr>
    </w:div>
    <w:div w:id="1683359410">
      <w:bodyDiv w:val="1"/>
      <w:marLeft w:val="0"/>
      <w:marRight w:val="0"/>
      <w:marTop w:val="0"/>
      <w:marBottom w:val="0"/>
      <w:divBdr>
        <w:top w:val="none" w:sz="0" w:space="0" w:color="auto"/>
        <w:left w:val="none" w:sz="0" w:space="0" w:color="auto"/>
        <w:bottom w:val="none" w:sz="0" w:space="0" w:color="auto"/>
        <w:right w:val="none" w:sz="0" w:space="0" w:color="auto"/>
      </w:divBdr>
    </w:div>
    <w:div w:id="1793133572">
      <w:bodyDiv w:val="1"/>
      <w:marLeft w:val="0"/>
      <w:marRight w:val="0"/>
      <w:marTop w:val="0"/>
      <w:marBottom w:val="0"/>
      <w:divBdr>
        <w:top w:val="none" w:sz="0" w:space="0" w:color="auto"/>
        <w:left w:val="none" w:sz="0" w:space="0" w:color="auto"/>
        <w:bottom w:val="none" w:sz="0" w:space="0" w:color="auto"/>
        <w:right w:val="none" w:sz="0" w:space="0" w:color="auto"/>
      </w:divBdr>
    </w:div>
    <w:div w:id="1861314223">
      <w:bodyDiv w:val="1"/>
      <w:marLeft w:val="0"/>
      <w:marRight w:val="0"/>
      <w:marTop w:val="0"/>
      <w:marBottom w:val="0"/>
      <w:divBdr>
        <w:top w:val="none" w:sz="0" w:space="0" w:color="auto"/>
        <w:left w:val="none" w:sz="0" w:space="0" w:color="auto"/>
        <w:bottom w:val="none" w:sz="0" w:space="0" w:color="auto"/>
        <w:right w:val="none" w:sz="0" w:space="0" w:color="auto"/>
      </w:divBdr>
    </w:div>
    <w:div w:id="199926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 Sayeed</dc:creator>
  <cp:keywords/>
  <dc:description/>
  <cp:lastModifiedBy>S.I. Sayeed</cp:lastModifiedBy>
  <cp:revision>1</cp:revision>
  <dcterms:created xsi:type="dcterms:W3CDTF">2026-02-02T06:58:00Z</dcterms:created>
  <dcterms:modified xsi:type="dcterms:W3CDTF">2026-02-02T07:17:00Z</dcterms:modified>
</cp:coreProperties>
</file>