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w:t>
      </w:r>
      <w:proofErr w:type="gramStart"/>
      <w:r w:rsidRPr="001B55EE">
        <w:rPr>
          <w:rFonts w:ascii="Times New Roman" w:hAnsi="Times New Roman" w:cs="Times New Roman"/>
          <w:sz w:val="22"/>
          <w:szCs w:val="22"/>
        </w:rPr>
        <w:t>as a way to</w:t>
      </w:r>
      <w:proofErr w:type="gramEnd"/>
      <w:r w:rsidRPr="001B55EE">
        <w:rPr>
          <w:rFonts w:ascii="Times New Roman" w:hAnsi="Times New Roman" w:cs="Times New Roman"/>
          <w:sz w:val="22"/>
          <w:szCs w:val="22"/>
        </w:rPr>
        <w:t xml:space="preserve">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Using fixed cost structures from the literature for new green technologies can be misleading because those costs are often highly context specific rather than universally transferable. </w:t>
      </w:r>
      <w:proofErr w:type="gramStart"/>
      <w:r w:rsidRPr="00E158A6">
        <w:rPr>
          <w:rFonts w:ascii="Times New Roman" w:hAnsi="Times New Roman" w:cs="Times New Roman"/>
          <w:sz w:val="22"/>
          <w:szCs w:val="22"/>
        </w:rPr>
        <w:t>A technology</w:t>
      </w:r>
      <w:proofErr w:type="gramEnd"/>
      <w:r w:rsidRPr="00E158A6">
        <w:rPr>
          <w:rFonts w:ascii="Times New Roman" w:hAnsi="Times New Roman" w:cs="Times New Roman"/>
          <w:sz w:val="22"/>
          <w:szCs w:val="22"/>
        </w:rPr>
        <w:t xml:space="preserve">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Relying on a single fixed estimate can therefore obscure the real range of economic viability and lead the model to overstate precision. In doing so, it may </w:t>
      </w:r>
      <w:proofErr w:type="gramStart"/>
      <w:r w:rsidRPr="00E158A6">
        <w:rPr>
          <w:rFonts w:ascii="Times New Roman" w:hAnsi="Times New Roman" w:cs="Times New Roman"/>
          <w:sz w:val="22"/>
          <w:szCs w:val="22"/>
        </w:rPr>
        <w:t>miss</w:t>
      </w:r>
      <w:proofErr w:type="gramEnd"/>
      <w:r w:rsidRPr="00E158A6">
        <w:rPr>
          <w:rFonts w:ascii="Times New Roman" w:hAnsi="Times New Roman" w:cs="Times New Roman"/>
          <w:sz w:val="22"/>
          <w:szCs w:val="22"/>
        </w:rPr>
        <w:t xml:space="preserve">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77777777"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w:t>
      </w:r>
      <w:r w:rsidR="00A164BF">
        <w:rPr>
          <w:rFonts w:ascii="Times New Roman" w:hAnsi="Times New Roman" w:cs="Times New Roman"/>
          <w:sz w:val="22"/>
          <w:szCs w:val="22"/>
        </w:rPr>
        <w:t>Hanna et al.</w:t>
      </w:r>
      <w:r w:rsidR="00A164BF">
        <w:rPr>
          <w:rFonts w:ascii="Times New Roman" w:hAnsi="Times New Roman" w:cs="Times New Roman"/>
          <w:sz w:val="22"/>
          <w:szCs w:val="22"/>
        </w:rPr>
        <w:t xml:space="preserve">, </w:t>
      </w:r>
      <w:r w:rsidR="00A164BF">
        <w:rPr>
          <w:rFonts w:ascii="Times New Roman" w:hAnsi="Times New Roman" w:cs="Times New Roman"/>
          <w:sz w:val="22"/>
          <w:szCs w:val="22"/>
        </w:rPr>
        <w:t>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w:t>
      </w:r>
      <w:r w:rsidR="00E35A16">
        <w:rPr>
          <w:rFonts w:ascii="Times New Roman" w:hAnsi="Times New Roman" w:cs="Times New Roman"/>
          <w:sz w:val="22"/>
          <w:szCs w:val="22"/>
        </w:rPr>
        <w:t>O’Callaghan et at,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w:t>
      </w:r>
      <w:proofErr w:type="gramStart"/>
      <w:r w:rsidR="00A11F5E" w:rsidRPr="001B55EE">
        <w:rPr>
          <w:rFonts w:ascii="Times New Roman" w:hAnsi="Times New Roman" w:cs="Times New Roman"/>
          <w:sz w:val="22"/>
          <w:szCs w:val="22"/>
        </w:rPr>
        <w:t>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strengths</w:t>
      </w:r>
      <w:proofErr w:type="gramEnd"/>
      <w:r w:rsidR="00A11F5E" w:rsidRPr="001B55EE">
        <w:rPr>
          <w:rFonts w:ascii="Times New Roman" w:hAnsi="Times New Roman" w:cs="Times New Roman"/>
          <w:sz w:val="22"/>
          <w:szCs w:val="22"/>
        </w:rPr>
        <w:t xml:space="preserve">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 xml:space="preserve">key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0CA2050F"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Salman et al., 2025;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proofErr w:type="spellStart"/>
      <w:r w:rsidR="001E4BAC" w:rsidRPr="00F26A56">
        <w:rPr>
          <w:rFonts w:ascii="Times New Roman" w:hAnsi="Times New Roman" w:cs="Times New Roman"/>
          <w:color w:val="000000" w:themeColor="text1"/>
          <w:sz w:val="22"/>
          <w:szCs w:val="22"/>
        </w:rPr>
        <w:t>Balcilar</w:t>
      </w:r>
      <w:proofErr w:type="spellEnd"/>
      <w:r w:rsidR="001E4BAC" w:rsidRPr="00F26A56">
        <w:rPr>
          <w:rFonts w:ascii="Times New Roman" w:hAnsi="Times New Roman" w:cs="Times New Roman"/>
          <w:color w:val="000000" w:themeColor="text1"/>
          <w:sz w:val="22"/>
          <w:szCs w:val="22"/>
        </w:rPr>
        <w:t>,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 xml:space="preserve">r and </w:t>
      </w:r>
      <w:proofErr w:type="spellStart"/>
      <w:r w:rsidR="000D61E3" w:rsidRPr="00F26A56">
        <w:rPr>
          <w:rFonts w:ascii="Times New Roman" w:hAnsi="Times New Roman" w:cs="Times New Roman"/>
          <w:color w:val="000000" w:themeColor="text1"/>
          <w:sz w:val="22"/>
          <w:szCs w:val="22"/>
        </w:rPr>
        <w:t>Quirrion</w:t>
      </w:r>
      <w:proofErr w:type="spellEnd"/>
      <w:r w:rsidR="000D61E3" w:rsidRPr="00F26A56">
        <w:rPr>
          <w:rFonts w:ascii="Times New Roman" w:hAnsi="Times New Roman" w:cs="Times New Roman"/>
          <w:color w:val="000000" w:themeColor="text1"/>
          <w:sz w:val="22"/>
          <w:szCs w:val="22"/>
        </w:rPr>
        <w:t>,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01937C03" w14:textId="5915DC8C" w:rsidR="003874D2" w:rsidRPr="003874D2" w:rsidRDefault="00A11F5E" w:rsidP="00182505">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Neutel,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proofErr w:type="spellStart"/>
      <w:r w:rsidR="00E1157D" w:rsidRPr="00E1157D">
        <w:rPr>
          <w:rFonts w:ascii="Times New Roman" w:hAnsi="Times New Roman" w:cs="Times New Roman"/>
          <w:sz w:val="22"/>
          <w:szCs w:val="22"/>
        </w:rPr>
        <w:t>Bulavskaya</w:t>
      </w:r>
      <w:proofErr w:type="spellEnd"/>
      <w:r w:rsidR="00E1157D">
        <w:rPr>
          <w:rFonts w:ascii="Times New Roman" w:hAnsi="Times New Roman" w:cs="Times New Roman"/>
          <w:sz w:val="22"/>
          <w:szCs w:val="22"/>
        </w:rPr>
        <w:t xml:space="preserve"> and </w:t>
      </w:r>
      <w:proofErr w:type="spellStart"/>
      <w:r w:rsidR="00E1157D">
        <w:rPr>
          <w:rFonts w:ascii="Times New Roman" w:hAnsi="Times New Roman" w:cs="Times New Roman"/>
          <w:sz w:val="22"/>
          <w:szCs w:val="22"/>
        </w:rPr>
        <w:t>Reynès</w:t>
      </w:r>
      <w:proofErr w:type="spellEnd"/>
      <w:r w:rsidR="00E1157D">
        <w:rPr>
          <w:rFonts w:ascii="Times New Roman" w:hAnsi="Times New Roman" w:cs="Times New Roman"/>
          <w:sz w:val="22"/>
          <w:szCs w:val="22"/>
        </w:rPr>
        <w:t xml:space="preserve">, 2018; </w:t>
      </w:r>
      <w:r w:rsidR="00F16B4C">
        <w:rPr>
          <w:rFonts w:ascii="Times New Roman" w:hAnsi="Times New Roman" w:cs="Times New Roman"/>
          <w:sz w:val="22"/>
          <w:szCs w:val="22"/>
        </w:rPr>
        <w:t xml:space="preserve">Lofgren and </w:t>
      </w:r>
      <w:proofErr w:type="spellStart"/>
      <w:r w:rsidR="00F16B4C">
        <w:rPr>
          <w:rFonts w:ascii="Times New Roman" w:hAnsi="Times New Roman" w:cs="Times New Roman"/>
          <w:sz w:val="22"/>
          <w:szCs w:val="22"/>
        </w:rPr>
        <w:t>Cicowiez</w:t>
      </w:r>
      <w:proofErr w:type="spellEnd"/>
      <w:r w:rsidR="00F16B4C">
        <w:rPr>
          <w:rFonts w:ascii="Times New Roman" w:hAnsi="Times New Roman" w:cs="Times New Roman"/>
          <w:sz w:val="22"/>
          <w:szCs w:val="22"/>
        </w:rPr>
        <w:t xml:space="preserve">,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w:t>
      </w:r>
      <w:proofErr w:type="spellStart"/>
      <w:r w:rsidR="00781923" w:rsidRPr="00436028">
        <w:rPr>
          <w:rFonts w:ascii="Times New Roman" w:hAnsi="Times New Roman" w:cs="Times New Roman"/>
          <w:color w:val="000000" w:themeColor="text1"/>
          <w:sz w:val="22"/>
          <w:szCs w:val="22"/>
        </w:rPr>
        <w:t>Heutel</w:t>
      </w:r>
      <w:proofErr w:type="spellEnd"/>
      <w:r w:rsidR="00781923" w:rsidRPr="00436028">
        <w:rPr>
          <w:rFonts w:ascii="Times New Roman" w:hAnsi="Times New Roman" w:cs="Times New Roman"/>
          <w:color w:val="000000" w:themeColor="text1"/>
          <w:sz w:val="22"/>
          <w:szCs w:val="22"/>
        </w:rPr>
        <w:t>, 202</w:t>
      </w:r>
      <w:r w:rsidR="00E06A9B" w:rsidRPr="00436028">
        <w:rPr>
          <w:rFonts w:ascii="Times New Roman" w:hAnsi="Times New Roman" w:cs="Times New Roman"/>
          <w:color w:val="000000" w:themeColor="text1"/>
          <w:sz w:val="22"/>
          <w:szCs w:val="22"/>
        </w:rPr>
        <w:t xml:space="preserve">4; </w:t>
      </w:r>
      <w:proofErr w:type="spellStart"/>
      <w:r w:rsidR="00EC5B72" w:rsidRPr="00436028">
        <w:rPr>
          <w:rFonts w:ascii="Times New Roman" w:hAnsi="Times New Roman" w:cs="Times New Roman"/>
          <w:color w:val="000000" w:themeColor="text1"/>
          <w:sz w:val="22"/>
          <w:szCs w:val="22"/>
        </w:rPr>
        <w:t>Hafstead</w:t>
      </w:r>
      <w:proofErr w:type="spellEnd"/>
      <w:r w:rsidR="00EC5B72" w:rsidRPr="00436028">
        <w:rPr>
          <w:rFonts w:ascii="Times New Roman" w:hAnsi="Times New Roman" w:cs="Times New Roman"/>
          <w:color w:val="000000" w:themeColor="text1"/>
          <w:sz w:val="22"/>
          <w:szCs w:val="22"/>
        </w:rPr>
        <w:t xml:space="preserve">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3E5EDD2C" w14:textId="1A0F280C" w:rsidR="00232527" w:rsidRPr="00232527" w:rsidRDefault="00A11F5E" w:rsidP="00891442">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 dynamic adjustment from historical data</w:t>
      </w:r>
      <w:r w:rsidR="001A5C05" w:rsidRPr="00DB662C">
        <w:rPr>
          <w:rFonts w:ascii="Times New Roman" w:hAnsi="Times New Roman" w:cs="Times New Roman"/>
          <w:sz w:val="22"/>
          <w:szCs w:val="22"/>
        </w:rPr>
        <w:t xml:space="preserve"> in terms of key economic </w:t>
      </w:r>
      <w:r w:rsidR="001A5C05" w:rsidRPr="00DB662C">
        <w:rPr>
          <w:rFonts w:ascii="Times New Roman" w:hAnsi="Times New Roman" w:cs="Times New Roman"/>
          <w:sz w:val="22"/>
          <w:szCs w:val="22"/>
        </w:rPr>
        <w:lastRenderedPageBreak/>
        <w:t>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proofErr w:type="spellStart"/>
      <w:r w:rsidR="00874723">
        <w:rPr>
          <w:rFonts w:ascii="Times New Roman" w:hAnsi="Times New Roman" w:cs="Times New Roman"/>
          <w:sz w:val="22"/>
          <w:szCs w:val="22"/>
        </w:rPr>
        <w:t>Alexandri</w:t>
      </w:r>
      <w:proofErr w:type="spellEnd"/>
      <w:r w:rsidR="00874723">
        <w:rPr>
          <w:rFonts w:ascii="Times New Roman" w:hAnsi="Times New Roman" w:cs="Times New Roman"/>
          <w:sz w:val="22"/>
          <w:szCs w:val="22"/>
        </w:rPr>
        <w:t xml:space="preserve">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Described as demand-led in the short to medium term, the</w:t>
      </w:r>
      <w:r w:rsidR="006D0619">
        <w:rPr>
          <w:rFonts w:ascii="Times New Roman" w:hAnsi="Times New Roman" w:cs="Times New Roman"/>
          <w:sz w:val="22"/>
          <w:szCs w:val="22"/>
        </w:rPr>
        <w:t>se</w:t>
      </w:r>
      <w:r w:rsidR="001A5C05">
        <w:rPr>
          <w:rFonts w:ascii="Times New Roman" w:hAnsi="Times New Roman" w:cs="Times New Roman"/>
          <w:sz w:val="22"/>
          <w:szCs w:val="22"/>
        </w:rPr>
        <w:t xml:space="preserve"> models combine national accounting identities with estimated behavioral equations to assess how demand shocks – for instance,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proofErr w:type="spellStart"/>
      <w:r w:rsidR="005E1C49" w:rsidRPr="005E1C49">
        <w:rPr>
          <w:rFonts w:ascii="Times New Roman" w:hAnsi="Times New Roman" w:cs="Times New Roman"/>
          <w:sz w:val="22"/>
          <w:szCs w:val="22"/>
        </w:rPr>
        <w:t>Akcigit</w:t>
      </w:r>
      <w:proofErr w:type="spellEnd"/>
      <w:r w:rsidR="005E1C49" w:rsidRPr="005E1C49">
        <w:rPr>
          <w:rFonts w:ascii="Times New Roman" w:hAnsi="Times New Roman" w:cs="Times New Roman"/>
          <w:sz w:val="22"/>
          <w:szCs w:val="22"/>
        </w:rPr>
        <w:t xml:space="preserve">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w:t>
      </w:r>
      <w:r w:rsidR="00D909BC">
        <w:rPr>
          <w:rFonts w:ascii="Times New Roman" w:hAnsi="Times New Roman" w:cs="Times New Roman"/>
          <w:sz w:val="22"/>
          <w:szCs w:val="22"/>
        </w:rPr>
        <w:t>or calibra</w:t>
      </w:r>
      <w:r w:rsidR="002567A9">
        <w:rPr>
          <w:rFonts w:ascii="Times New Roman" w:hAnsi="Times New Roman" w:cs="Times New Roman"/>
          <w:sz w:val="22"/>
          <w:szCs w:val="22"/>
        </w:rPr>
        <w:t xml:space="preserve">ted </w:t>
      </w:r>
      <w:r w:rsidR="00F610DC">
        <w:rPr>
          <w:rFonts w:ascii="Times New Roman" w:hAnsi="Times New Roman" w:cs="Times New Roman"/>
          <w:sz w:val="22"/>
          <w:szCs w:val="22"/>
        </w:rPr>
        <w:t>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 data</w:t>
      </w:r>
      <w:r w:rsidR="00F666E0">
        <w:rPr>
          <w:rFonts w:ascii="Times New Roman" w:hAnsi="Times New Roman" w:cs="Times New Roman"/>
          <w:sz w:val="22"/>
          <w:szCs w:val="22"/>
        </w:rPr>
        <w:t>, meaning</w:t>
      </w:r>
      <w:r w:rsidR="00F610DC">
        <w:rPr>
          <w:rFonts w:ascii="Times New Roman" w:hAnsi="Times New Roman" w:cs="Times New Roman"/>
          <w:sz w:val="22"/>
          <w:szCs w:val="22"/>
        </w:rPr>
        <w:t xml:space="preserve"> that investment</w:t>
      </w:r>
      <w:r w:rsidR="000D48B1">
        <w:rPr>
          <w:rFonts w:ascii="Times New Roman" w:hAnsi="Times New Roman" w:cs="Times New Roman"/>
          <w:sz w:val="22"/>
          <w:szCs w:val="22"/>
        </w:rPr>
        <w:t>-to-employment</w:t>
      </w:r>
      <w:r w:rsidR="00F610DC">
        <w:rPr>
          <w:rFonts w:ascii="Times New Roman" w:hAnsi="Times New Roman" w:cs="Times New Roman"/>
          <w:sz w:val="22"/>
          <w:szCs w:val="22"/>
        </w:rPr>
        <w:t xml:space="preserve"> relationships may </w:t>
      </w:r>
      <w:r w:rsidR="000E3544">
        <w:rPr>
          <w:rFonts w:ascii="Times New Roman" w:hAnsi="Times New Roman" w:cs="Times New Roman"/>
          <w:sz w:val="22"/>
          <w:szCs w:val="22"/>
        </w:rPr>
        <w:t>be less reliable for forward-looking</w:t>
      </w:r>
      <w:r w:rsidR="00C906F5">
        <w:rPr>
          <w:rFonts w:ascii="Times New Roman" w:hAnsi="Times New Roman" w:cs="Times New Roman"/>
          <w:sz w:val="22"/>
          <w:szCs w:val="22"/>
        </w:rPr>
        <w:t xml:space="preserve"> </w:t>
      </w:r>
      <w:r w:rsidR="003130B2">
        <w:rPr>
          <w:rFonts w:ascii="Times New Roman" w:hAnsi="Times New Roman" w:cs="Times New Roman"/>
          <w:sz w:val="22"/>
          <w:szCs w:val="22"/>
        </w:rPr>
        <w:t xml:space="preserve">policy </w:t>
      </w:r>
      <w:r w:rsidR="00DE2199">
        <w:rPr>
          <w:rFonts w:ascii="Times New Roman" w:hAnsi="Times New Roman" w:cs="Times New Roman"/>
          <w:sz w:val="22"/>
          <w:szCs w:val="22"/>
        </w:rPr>
        <w:t>analysis</w:t>
      </w:r>
      <w:r w:rsidR="00F610DC">
        <w:rPr>
          <w:rFonts w:ascii="Times New Roman" w:hAnsi="Times New Roman" w:cs="Times New Roman"/>
          <w:sz w:val="22"/>
          <w:szCs w:val="22"/>
        </w:rPr>
        <w:t>,</w:t>
      </w:r>
      <w:r w:rsidR="00D70E32">
        <w:rPr>
          <w:rFonts w:ascii="Times New Roman" w:hAnsi="Times New Roman" w:cs="Times New Roman"/>
          <w:sz w:val="22"/>
          <w:szCs w:val="22"/>
        </w:rPr>
        <w:t xml:space="preserve"> particularly when applied to sectors whose cost and input structures are rapidly changing</w:t>
      </w:r>
      <w:r w:rsidR="00DE2199">
        <w:rPr>
          <w:rFonts w:ascii="Times New Roman" w:hAnsi="Times New Roman" w:cs="Times New Roman"/>
          <w:sz w:val="22"/>
          <w:szCs w:val="22"/>
        </w:rPr>
        <w:t>.</w:t>
      </w:r>
      <w:r w:rsidR="00F610DC">
        <w:rPr>
          <w:rFonts w:ascii="Times New Roman" w:hAnsi="Times New Roman" w:cs="Times New Roman"/>
          <w:sz w:val="22"/>
          <w:szCs w:val="22"/>
        </w:rPr>
        <w:t xml:space="preserve"> </w:t>
      </w:r>
      <w:r w:rsidR="002C46C8">
        <w:rPr>
          <w:rFonts w:ascii="Times New Roman" w:hAnsi="Times New Roman" w:cs="Times New Roman"/>
          <w:sz w:val="22"/>
          <w:szCs w:val="22"/>
        </w:rPr>
        <w:t xml:space="preserve">Even </w:t>
      </w:r>
      <w:r w:rsidR="00137FAE">
        <w:rPr>
          <w:rFonts w:ascii="Times New Roman" w:hAnsi="Times New Roman" w:cs="Times New Roman"/>
          <w:sz w:val="22"/>
          <w:szCs w:val="22"/>
        </w:rPr>
        <w:t xml:space="preserve">granting </w:t>
      </w:r>
      <w:r w:rsidR="00C8785C">
        <w:rPr>
          <w:rFonts w:ascii="Times New Roman" w:hAnsi="Times New Roman" w:cs="Times New Roman"/>
          <w:sz w:val="22"/>
          <w:szCs w:val="22"/>
        </w:rPr>
        <w:t>that historical sector-specific interdependencies (e.g., intermediate consumption, technological transfers)</w:t>
      </w:r>
      <w:r w:rsidR="008A5EC9">
        <w:rPr>
          <w:rFonts w:ascii="Times New Roman" w:hAnsi="Times New Roman" w:cs="Times New Roman"/>
          <w:sz w:val="22"/>
          <w:szCs w:val="22"/>
        </w:rPr>
        <w:t xml:space="preserve"> </w:t>
      </w:r>
      <w:r w:rsidR="0043035C">
        <w:rPr>
          <w:rFonts w:ascii="Times New Roman" w:hAnsi="Times New Roman" w:cs="Times New Roman"/>
          <w:sz w:val="22"/>
          <w:szCs w:val="22"/>
        </w:rPr>
        <w:t xml:space="preserve">are accurate representations, </w:t>
      </w:r>
      <w:r w:rsidR="0043035C" w:rsidRPr="0043035C">
        <w:rPr>
          <w:rFonts w:ascii="Times New Roman" w:hAnsi="Times New Roman" w:cs="Times New Roman"/>
          <w:sz w:val="22"/>
          <w:szCs w:val="22"/>
        </w:rPr>
        <w:t>it is reasonable to argue that if the initial demand shock</w:t>
      </w:r>
      <w:r w:rsidR="00CB0367">
        <w:rPr>
          <w:rFonts w:ascii="Times New Roman" w:hAnsi="Times New Roman" w:cs="Times New Roman"/>
          <w:sz w:val="22"/>
          <w:szCs w:val="22"/>
        </w:rPr>
        <w:t xml:space="preserve"> from</w:t>
      </w:r>
      <w:r w:rsidR="0043035C" w:rsidRPr="0043035C">
        <w:rPr>
          <w:rFonts w:ascii="Times New Roman" w:hAnsi="Times New Roman" w:cs="Times New Roman"/>
          <w:sz w:val="22"/>
          <w:szCs w:val="22"/>
        </w:rPr>
        <w:t xml:space="preserve"> climate investments</w:t>
      </w:r>
      <w:r w:rsidR="0006372D">
        <w:rPr>
          <w:rFonts w:ascii="Times New Roman" w:hAnsi="Times New Roman" w:cs="Times New Roman"/>
          <w:sz w:val="22"/>
          <w:szCs w:val="22"/>
        </w:rPr>
        <w:t xml:space="preserve"> </w:t>
      </w:r>
      <w:r w:rsidR="00E87595">
        <w:rPr>
          <w:rFonts w:ascii="Times New Roman" w:hAnsi="Times New Roman" w:cs="Times New Roman"/>
          <w:sz w:val="22"/>
          <w:szCs w:val="22"/>
        </w:rPr>
        <w:t>is</w:t>
      </w:r>
      <w:r w:rsidR="00647BBA">
        <w:rPr>
          <w:rFonts w:ascii="Times New Roman" w:hAnsi="Times New Roman" w:cs="Times New Roman"/>
          <w:sz w:val="22"/>
          <w:szCs w:val="22"/>
        </w:rPr>
        <w:t xml:space="preserve"> </w:t>
      </w:r>
      <w:r w:rsidR="00E87595">
        <w:rPr>
          <w:rFonts w:ascii="Times New Roman" w:hAnsi="Times New Roman" w:cs="Times New Roman"/>
          <w:sz w:val="22"/>
          <w:szCs w:val="22"/>
        </w:rPr>
        <w:t xml:space="preserve">mapped </w:t>
      </w:r>
      <w:r w:rsidR="00772557">
        <w:rPr>
          <w:rFonts w:ascii="Times New Roman" w:hAnsi="Times New Roman" w:cs="Times New Roman"/>
          <w:sz w:val="22"/>
          <w:szCs w:val="22"/>
        </w:rPr>
        <w:t xml:space="preserve">from an </w:t>
      </w:r>
      <w:r w:rsidR="00DE6FC9">
        <w:rPr>
          <w:rFonts w:ascii="Times New Roman" w:hAnsi="Times New Roman" w:cs="Times New Roman"/>
          <w:sz w:val="22"/>
          <w:szCs w:val="22"/>
        </w:rPr>
        <w:t>imprecise</w:t>
      </w:r>
      <w:r w:rsidR="00772557">
        <w:rPr>
          <w:rFonts w:ascii="Times New Roman" w:hAnsi="Times New Roman" w:cs="Times New Roman"/>
          <w:sz w:val="22"/>
          <w:szCs w:val="22"/>
        </w:rPr>
        <w:t xml:space="preserve"> sectoral </w:t>
      </w:r>
      <w:r w:rsidR="00DE6FC9">
        <w:rPr>
          <w:rFonts w:ascii="Times New Roman" w:hAnsi="Times New Roman" w:cs="Times New Roman"/>
          <w:sz w:val="22"/>
          <w:szCs w:val="22"/>
        </w:rPr>
        <w:t>breakdown</w:t>
      </w:r>
      <w:r w:rsidR="00772557">
        <w:rPr>
          <w:rFonts w:ascii="Times New Roman" w:hAnsi="Times New Roman" w:cs="Times New Roman"/>
          <w:sz w:val="22"/>
          <w:szCs w:val="22"/>
        </w:rPr>
        <w:t xml:space="preserve">, the subsequent employment </w:t>
      </w:r>
      <w:r w:rsidR="00A87CF3">
        <w:rPr>
          <w:rFonts w:ascii="Times New Roman" w:hAnsi="Times New Roman" w:cs="Times New Roman"/>
          <w:sz w:val="22"/>
          <w:szCs w:val="22"/>
        </w:rPr>
        <w:t>feedback</w:t>
      </w:r>
      <w:r w:rsidR="00772557">
        <w:rPr>
          <w:rFonts w:ascii="Times New Roman" w:hAnsi="Times New Roman" w:cs="Times New Roman"/>
          <w:sz w:val="22"/>
          <w:szCs w:val="22"/>
        </w:rPr>
        <w:t xml:space="preserve"> </w:t>
      </w:r>
      <w:r w:rsidR="00DE6FC9">
        <w:rPr>
          <w:rFonts w:ascii="Times New Roman" w:hAnsi="Times New Roman" w:cs="Times New Roman"/>
          <w:sz w:val="22"/>
          <w:szCs w:val="22"/>
        </w:rPr>
        <w:t>will</w:t>
      </w:r>
      <w:r w:rsidR="00772557">
        <w:rPr>
          <w:rFonts w:ascii="Times New Roman" w:hAnsi="Times New Roman" w:cs="Times New Roman"/>
          <w:sz w:val="22"/>
          <w:szCs w:val="22"/>
        </w:rPr>
        <w:t xml:space="preserve"> be </w:t>
      </w:r>
      <w:r w:rsidR="00DE6FC9">
        <w:rPr>
          <w:rFonts w:ascii="Times New Roman" w:hAnsi="Times New Roman" w:cs="Times New Roman"/>
          <w:sz w:val="22"/>
          <w:szCs w:val="22"/>
        </w:rPr>
        <w:t>distorted</w:t>
      </w:r>
      <w:r w:rsidR="00647BBA">
        <w:rPr>
          <w:rFonts w:ascii="Times New Roman" w:hAnsi="Times New Roman" w:cs="Times New Roman"/>
          <w:sz w:val="22"/>
          <w:szCs w:val="22"/>
        </w:rPr>
        <w:t>.</w:t>
      </w:r>
    </w:p>
    <w:p w14:paraId="2F68C97C" w14:textId="6CE270C7" w:rsidR="00A11F5E" w:rsidRPr="00A11F5E" w:rsidRDefault="00A11F5E" w:rsidP="00A11F5E">
      <w:pPr>
        <w:pStyle w:val="Heading2"/>
      </w:pPr>
      <w:r w:rsidRPr="00A11F5E">
        <w:t xml:space="preserve">2.2 </w:t>
      </w:r>
      <w:r w:rsidR="004D4057" w:rsidRPr="004D4057">
        <w:t>Beyond cost structures: traceability and conditionality gaps</w:t>
      </w:r>
    </w:p>
    <w:p w14:paraId="733530B3"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2066B58" w14:textId="5A9A3ECF" w:rsidR="00A11F5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t xml:space="preserve">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w:t>
      </w:r>
      <w:proofErr w:type="gramStart"/>
      <w:r w:rsidRPr="002A2D5A">
        <w:rPr>
          <w:rFonts w:ascii="Times New Roman" w:hAnsi="Times New Roman" w:cs="Times New Roman"/>
          <w:sz w:val="22"/>
          <w:szCs w:val="22"/>
          <w:shd w:val="clear" w:color="auto" w:fill="D9F2D0" w:themeFill="accent6" w:themeFillTint="33"/>
        </w:rPr>
        <w:t>as a consequence of</w:t>
      </w:r>
      <w:proofErr w:type="gramEnd"/>
      <w:r w:rsidRPr="002A2D5A">
        <w:rPr>
          <w:rFonts w:ascii="Times New Roman" w:hAnsi="Times New Roman" w:cs="Times New Roman"/>
          <w:sz w:val="22"/>
          <w:szCs w:val="22"/>
          <w:shd w:val="clear" w:color="auto" w:fill="D9F2D0" w:themeFill="accent6" w:themeFillTint="33"/>
        </w:rPr>
        <w:t xml:space="preserve"> the first two, </w:t>
      </w:r>
      <w:proofErr w:type="gramStart"/>
      <w:r w:rsidRPr="002A2D5A">
        <w:rPr>
          <w:rFonts w:ascii="Times New Roman" w:hAnsi="Times New Roman" w:cs="Times New Roman"/>
          <w:sz w:val="22"/>
          <w:szCs w:val="22"/>
          <w:shd w:val="clear" w:color="auto" w:fill="D9F2D0" w:themeFill="accent6" w:themeFillTint="33"/>
        </w:rPr>
        <w:t>the literature</w:t>
      </w:r>
      <w:proofErr w:type="gramEnd"/>
      <w:r w:rsidRPr="002A2D5A">
        <w:rPr>
          <w:rFonts w:ascii="Times New Roman" w:hAnsi="Times New Roman" w:cs="Times New Roman"/>
          <w:sz w:val="22"/>
          <w:szCs w:val="22"/>
          <w:shd w:val="clear" w:color="auto" w:fill="D9F2D0" w:themeFill="accent6" w:themeFillTint="33"/>
        </w:rPr>
        <w:t xml:space="preserv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5FA83F9C" w14:textId="77777777" w:rsidR="00BC2936" w:rsidRPr="001B55EE" w:rsidRDefault="00BC2936" w:rsidP="00BC2936">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05B08342" w14:textId="77777777" w:rsidR="00BC2936" w:rsidRPr="001B55EE" w:rsidRDefault="00BC2936" w:rsidP="00A11F5E">
      <w:pPr>
        <w:jc w:val="both"/>
        <w:rPr>
          <w:rFonts w:ascii="Times New Roman" w:hAnsi="Times New Roman" w:cs="Times New Roman"/>
          <w:sz w:val="22"/>
          <w:szCs w:val="22"/>
        </w:rPr>
      </w:pP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xml:space="preserve">•    End 2.2 by stating what would be needed to close these gaps. This </w:t>
      </w:r>
      <w:proofErr w:type="gramStart"/>
      <w:r w:rsidRPr="00A1172A">
        <w:rPr>
          <w:rFonts w:ascii="Times New Roman" w:hAnsi="Times New Roman" w:cs="Times New Roman"/>
          <w:sz w:val="22"/>
          <w:szCs w:val="22"/>
        </w:rPr>
        <w:t>sets</w:t>
      </w:r>
      <w:proofErr w:type="gramEnd"/>
      <w:r w:rsidRPr="00A1172A">
        <w:rPr>
          <w:rFonts w:ascii="Times New Roman" w:hAnsi="Times New Roman" w:cs="Times New Roman"/>
          <w:sz w:val="22"/>
          <w:szCs w:val="22"/>
        </w:rPr>
        <w:t xml:space="preserve"> up 2.3 and Section 3</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Marchau</w:t>
      </w:r>
      <w:proofErr w:type="spellEnd"/>
      <w:r w:rsidRPr="001B55EE">
        <w:rPr>
          <w:rFonts w:ascii="Times New Roman" w:hAnsi="Times New Roman" w:cs="Times New Roman"/>
          <w:sz w:val="22"/>
          <w:szCs w:val="22"/>
        </w:rPr>
        <w:t xml:space="preserve"> et al. (2019</w:t>
      </w:r>
      <w:proofErr w:type="gramStart"/>
      <w:r w:rsidRPr="001B55EE">
        <w:rPr>
          <w:rFonts w:ascii="Times New Roman" w:hAnsi="Times New Roman" w:cs="Times New Roman"/>
          <w:sz w:val="22"/>
          <w:szCs w:val="22"/>
        </w:rPr>
        <w:t>) (#13) —</w:t>
      </w:r>
      <w:proofErr w:type="gramEnd"/>
      <w:r w:rsidRPr="001B55EE">
        <w:rPr>
          <w:rFonts w:ascii="Times New Roman" w:hAnsi="Times New Roman" w:cs="Times New Roman"/>
          <w:sz w:val="22"/>
          <w:szCs w:val="22"/>
        </w:rPr>
        <w:t xml:space="preserve">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w:t>
      </w:r>
      <w:proofErr w:type="gramStart"/>
      <w:r w:rsidRPr="001B55EE">
        <w:rPr>
          <w:rFonts w:ascii="Times New Roman" w:hAnsi="Times New Roman" w:cs="Times New Roman"/>
          <w:sz w:val="22"/>
          <w:szCs w:val="22"/>
        </w:rPr>
        <w:t>spent,</w:t>
      </w:r>
      <w:proofErr w:type="gramEnd"/>
      <w:r w:rsidRPr="001B55EE">
        <w:rPr>
          <w:rFonts w:ascii="Times New Roman" w:hAnsi="Times New Roman" w:cs="Times New Roman"/>
          <w:sz w:val="22"/>
          <w:szCs w:val="22"/>
        </w:rPr>
        <w:t xml:space="preserve">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w:t>
      </w:r>
      <w:r w:rsidRPr="001B55EE">
        <w:rPr>
          <w:rFonts w:ascii="Times New Roman" w:hAnsi="Times New Roman" w:cs="Times New Roman"/>
          <w:sz w:val="22"/>
          <w:szCs w:val="22"/>
        </w:rPr>
        <w:lastRenderedPageBreak/>
        <w:t>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w:t>
      </w:r>
      <w:proofErr w:type="spellStart"/>
      <w:r w:rsidRPr="001B55EE">
        <w:rPr>
          <w:rFonts w:ascii="Times New Roman" w:hAnsi="Times New Roman" w:cs="Times New Roman"/>
          <w:sz w:val="22"/>
          <w:szCs w:val="22"/>
        </w:rPr>
        <w:t>Trancik</w:t>
      </w:r>
      <w:proofErr w:type="spellEnd"/>
      <w:r w:rsidRPr="001B55EE">
        <w:rPr>
          <w:rFonts w:ascii="Times New Roman" w:hAnsi="Times New Roman" w:cs="Times New Roman"/>
          <w:sz w:val="22"/>
          <w:szCs w:val="22"/>
        </w:rPr>
        <w:t xml:space="preserve"> (2018</w:t>
      </w:r>
      <w:proofErr w:type="gramStart"/>
      <w:r w:rsidRPr="001B55EE">
        <w:rPr>
          <w:rFonts w:ascii="Times New Roman" w:hAnsi="Times New Roman" w:cs="Times New Roman"/>
          <w:sz w:val="22"/>
          <w:szCs w:val="22"/>
        </w:rPr>
        <w:t>) (#45) —</w:t>
      </w:r>
      <w:proofErr w:type="gramEnd"/>
      <w:r w:rsidRPr="001B55EE">
        <w:rPr>
          <w:rFonts w:ascii="Times New Roman" w:hAnsi="Times New Roman" w:cs="Times New Roman"/>
          <w:sz w:val="22"/>
          <w:szCs w:val="22"/>
        </w:rPr>
        <w:t xml:space="preserve">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w:t>
      </w:r>
      <w:proofErr w:type="gramStart"/>
      <w:r w:rsidRPr="001B55EE">
        <w:rPr>
          <w:rFonts w:ascii="Times New Roman" w:hAnsi="Times New Roman" w:cs="Times New Roman"/>
          <w:sz w:val="22"/>
          <w:szCs w:val="22"/>
        </w:rPr>
        <w:t>) (#66) —</w:t>
      </w:r>
      <w:proofErr w:type="gramEnd"/>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Development economics angle: learning curves imply early movers pay higher costs per unit (more labor-intensive, more job-creating early on), but also higher costs that strain fiscal space. </w:t>
      </w:r>
      <w:proofErr w:type="gramStart"/>
      <w:r w:rsidRPr="001B55EE">
        <w:rPr>
          <w:rFonts w:ascii="Times New Roman" w:hAnsi="Times New Roman" w:cs="Times New Roman"/>
          <w:sz w:val="22"/>
          <w:szCs w:val="22"/>
        </w:rPr>
        <w:t>Late</w:t>
      </w:r>
      <w:proofErr w:type="gramEnd"/>
      <w:r w:rsidRPr="001B55EE">
        <w:rPr>
          <w:rFonts w:ascii="Times New Roman" w:hAnsi="Times New Roman" w:cs="Times New Roman"/>
          <w:sz w:val="22"/>
          <w:szCs w:val="22"/>
        </w:rPr>
        <w:t xml:space="preserv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 the balance 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w:t>
      </w:r>
      <w:proofErr w:type="gramStart"/>
      <w:r w:rsidRPr="001B55EE">
        <w:rPr>
          <w:rFonts w:ascii="Times New Roman" w:hAnsi="Times New Roman" w:cs="Times New Roman"/>
          <w:sz w:val="22"/>
          <w:szCs w:val="22"/>
        </w:rPr>
        <w:t>) (#75) —</w:t>
      </w:r>
      <w:proofErr w:type="gramEnd"/>
      <w:r w:rsidRPr="001B55EE">
        <w:rPr>
          <w:rFonts w:ascii="Times New Roman" w:hAnsi="Times New Roman" w:cs="Times New Roman"/>
          <w:sz w:val="22"/>
          <w:szCs w:val="22"/>
        </w:rPr>
        <w:t xml:space="preserve">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w:t>
      </w:r>
      <w:proofErr w:type="gramStart"/>
      <w:r w:rsidRPr="001B55EE">
        <w:rPr>
          <w:rFonts w:ascii="Times New Roman" w:hAnsi="Times New Roman" w:cs="Times New Roman"/>
          <w:sz w:val="22"/>
          <w:szCs w:val="22"/>
        </w:rPr>
        <w:t>A)−</w:t>
      </w:r>
      <w:proofErr w:type="gramEnd"/>
      <w:r w:rsidRPr="001B55EE">
        <w:rPr>
          <w:rFonts w:ascii="Times New Roman" w:hAnsi="Times New Roman" w:cs="Times New Roman"/>
          <w:sz w:val="22"/>
          <w:szCs w:val="22"/>
        </w:rPr>
        <w:t>1d, where A is the matrix of technical coefficients and d is 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critical choice to justify: why demand-driven I-O rather than CGE? </w:t>
      </w:r>
      <w:proofErr w:type="gramStart"/>
      <w:r w:rsidRPr="001B55EE">
        <w:rPr>
          <w:rFonts w:ascii="Times New Roman" w:hAnsi="Times New Roman" w:cs="Times New Roman"/>
          <w:sz w:val="22"/>
          <w:szCs w:val="22"/>
        </w:rPr>
        <w:t>The RDM</w:t>
      </w:r>
      <w:proofErr w:type="gramEnd"/>
      <w:r w:rsidRPr="001B55EE">
        <w:rPr>
          <w:rFonts w:ascii="Times New Roman" w:hAnsi="Times New Roman" w:cs="Times New Roman"/>
          <w:sz w:val="22"/>
          <w:szCs w:val="22"/>
        </w:rPr>
        <w:t xml:space="preserve">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lastRenderedPageBreak/>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w:t>
      </w:r>
      <w:proofErr w:type="gramStart"/>
      <w:r w:rsidRPr="001B55EE">
        <w:rPr>
          <w:rFonts w:ascii="Times New Roman" w:hAnsi="Times New Roman" w:cs="Times New Roman"/>
          <w:sz w:val="22"/>
          <w:szCs w:val="22"/>
        </w:rPr>
        <w:t>the empirical</w:t>
      </w:r>
      <w:proofErr w:type="gramEnd"/>
      <w:r w:rsidRPr="001B55EE">
        <w:rPr>
          <w:rFonts w:ascii="Times New Roman" w:hAnsi="Times New Roman" w:cs="Times New Roman"/>
          <w:sz w:val="22"/>
          <w:szCs w:val="22"/>
        </w:rPr>
        <w:t xml:space="preserve"> literature and </w:t>
      </w:r>
      <w:proofErr w:type="gramStart"/>
      <w:r w:rsidRPr="001B55EE">
        <w:rPr>
          <w:rFonts w:ascii="Times New Roman" w:hAnsi="Times New Roman" w:cs="Times New Roman"/>
          <w:sz w:val="22"/>
          <w:szCs w:val="22"/>
        </w:rPr>
        <w:t>calibrated</w:t>
      </w:r>
      <w:proofErr w:type="gramEnd"/>
      <w:r w:rsidRPr="001B55EE">
        <w:rPr>
          <w:rFonts w:ascii="Times New Roman" w:hAnsi="Times New Roman" w:cs="Times New Roman"/>
          <w:sz w:val="22"/>
          <w:szCs w:val="22"/>
        </w:rPr>
        <w:t xml:space="preserve">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 xml:space="preserve">4.1 The CCDR context and why </w:t>
      </w:r>
      <w:proofErr w:type="gramStart"/>
      <w:r w:rsidRPr="00A11F5E">
        <w:t>this matters</w:t>
      </w:r>
      <w:proofErr w:type="gramEnd"/>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framework was applied to seven countries — Mexico, Belize, Uganda, Egypt, Morocco, Libya, and Bulgaria —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CCDR documentation — cite </w:t>
      </w:r>
      <w:proofErr w:type="gramStart"/>
      <w:r w:rsidRPr="001B55EE">
        <w:rPr>
          <w:rFonts w:ascii="Times New Roman" w:hAnsi="Times New Roman" w:cs="Times New Roman"/>
          <w:sz w:val="22"/>
          <w:szCs w:val="22"/>
        </w:rPr>
        <w:t>the relevant</w:t>
      </w:r>
      <w:proofErr w:type="gramEnd"/>
      <w:r w:rsidRPr="001B55EE">
        <w:rPr>
          <w:rFonts w:ascii="Times New Roman" w:hAnsi="Times New Roman" w:cs="Times New Roman"/>
          <w:sz w:val="22"/>
          <w:szCs w:val="22"/>
        </w:rPr>
        <w:t xml:space="preserve">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lastRenderedPageBreak/>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Ravillard</w:t>
      </w:r>
      <w:proofErr w:type="spellEnd"/>
      <w:r w:rsidRPr="001B55EE">
        <w:rPr>
          <w:rFonts w:ascii="Times New Roman" w:hAnsi="Times New Roman" w:cs="Times New Roman"/>
          <w:sz w:val="22"/>
          <w:szCs w:val="22"/>
        </w:rPr>
        <w:t xml:space="preserve"> et al. (2021</w:t>
      </w:r>
      <w:proofErr w:type="gramStart"/>
      <w:r w:rsidRPr="001B55EE">
        <w:rPr>
          <w:rFonts w:ascii="Times New Roman" w:hAnsi="Times New Roman" w:cs="Times New Roman"/>
          <w:sz w:val="22"/>
          <w:szCs w:val="22"/>
        </w:rPr>
        <w:t>) (#6) —</w:t>
      </w:r>
      <w:proofErr w:type="gramEnd"/>
      <w:r w:rsidRPr="001B55EE">
        <w:rPr>
          <w:rFonts w:ascii="Times New Roman" w:hAnsi="Times New Roman" w:cs="Times New Roman"/>
          <w:sz w:val="22"/>
          <w:szCs w:val="22"/>
        </w:rPr>
        <w:t xml:space="preserve">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 structured comparison table is essential. This is where you show </w:t>
      </w:r>
      <w:proofErr w:type="gramStart"/>
      <w:r w:rsidRPr="001B55EE">
        <w:rPr>
          <w:rFonts w:ascii="Times New Roman" w:hAnsi="Times New Roman" w:cs="Times New Roman"/>
          <w:sz w:val="22"/>
          <w:szCs w:val="22"/>
        </w:rPr>
        <w:t>the heterogeneity</w:t>
      </w:r>
      <w:proofErr w:type="gramEnd"/>
      <w:r w:rsidRPr="001B55EE">
        <w:rPr>
          <w:rFonts w:ascii="Times New Roman" w:hAnsi="Times New Roman" w:cs="Times New Roman"/>
          <w:sz w:val="22"/>
          <w:szCs w:val="22"/>
        </w:rPr>
        <w:t>,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These are the starting </w:t>
      </w:r>
      <w:proofErr w:type="gramStart"/>
      <w:r w:rsidRPr="001B55EE">
        <w:rPr>
          <w:rFonts w:ascii="Times New Roman" w:hAnsi="Times New Roman" w:cs="Times New Roman"/>
          <w:sz w:val="22"/>
          <w:szCs w:val="22"/>
        </w:rPr>
        <w:t>point</w:t>
      </w:r>
      <w:proofErr w:type="gramEnd"/>
      <w:r w:rsidRPr="001B55EE">
        <w:rPr>
          <w:rFonts w:ascii="Times New Roman" w:hAnsi="Times New Roman" w:cs="Times New Roman"/>
          <w:sz w:val="22"/>
          <w:szCs w:val="22"/>
        </w:rPr>
        <w:t>, not the punchline. The punchline is the scenario discovery in 5.3.</w:t>
      </w:r>
    </w:p>
    <w:p w14:paraId="5041684F" w14:textId="77777777" w:rsidR="00A11F5E" w:rsidRPr="00A11F5E" w:rsidRDefault="00A11F5E" w:rsidP="001B55EE">
      <w:pPr>
        <w:pStyle w:val="Heading2"/>
      </w:pPr>
      <w:r w:rsidRPr="00A11F5E">
        <w:lastRenderedPageBreak/>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w:t>
      </w:r>
      <w:proofErr w:type="gramStart"/>
      <w:r w:rsidRPr="001B55EE">
        <w:rPr>
          <w:rFonts w:ascii="Times New Roman" w:hAnsi="Times New Roman" w:cs="Times New Roman"/>
          <w:sz w:val="22"/>
          <w:szCs w:val="22"/>
        </w:rPr>
        <w:t>is:</w:t>
      </w:r>
      <w:proofErr w:type="gramEnd"/>
      <w:r w:rsidRPr="001B55EE">
        <w:rPr>
          <w:rFonts w:ascii="Times New Roman" w:hAnsi="Times New Roman" w:cs="Times New Roman"/>
          <w:sz w:val="22"/>
          <w:szCs w:val="22"/>
        </w:rPr>
        <w:t xml:space="preserve">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w:t>
      </w:r>
      <w:proofErr w:type="gramStart"/>
      <w:r w:rsidRPr="001B55EE">
        <w:rPr>
          <w:rFonts w:ascii="Times New Roman" w:hAnsi="Times New Roman" w:cs="Times New Roman"/>
          <w:sz w:val="22"/>
          <w:szCs w:val="22"/>
        </w:rPr>
        <w:t>differ:</w:t>
      </w:r>
      <w:proofErr w:type="gramEnd"/>
      <w:r w:rsidRPr="001B55EE">
        <w:rPr>
          <w:rFonts w:ascii="Times New Roman" w:hAnsi="Times New Roman" w:cs="Times New Roman"/>
          <w:sz w:val="22"/>
          <w:szCs w:val="22"/>
        </w:rPr>
        <w:t xml:space="preserve">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findings can be synthesized into a typology of employment vulnerability: a classification of country-transformation combinations based on how robust their employment outcomes are to cost-structure uncertainty. At one </w:t>
      </w:r>
      <w:proofErr w:type="gramStart"/>
      <w:r w:rsidRPr="001B55EE">
        <w:rPr>
          <w:rFonts w:ascii="Times New Roman" w:hAnsi="Times New Roman" w:cs="Times New Roman"/>
          <w:sz w:val="22"/>
          <w:szCs w:val="22"/>
        </w:rPr>
        <w:t>end</w:t>
      </w:r>
      <w:proofErr w:type="gramEnd"/>
      <w:r w:rsidRPr="001B55EE">
        <w:rPr>
          <w:rFonts w:ascii="Times New Roman" w:hAnsi="Times New Roman" w:cs="Times New Roman"/>
          <w:sz w:val="22"/>
          <w:szCs w:val="22"/>
        </w:rPr>
        <w:t xml:space="preserve">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w:t>
      </w:r>
      <w:proofErr w:type="gramStart"/>
      <w:r w:rsidRPr="001B55EE">
        <w:rPr>
          <w:rFonts w:ascii="Times New Roman" w:hAnsi="Times New Roman" w:cs="Times New Roman"/>
          <w:sz w:val="22"/>
          <w:szCs w:val="22"/>
        </w:rPr>
        <w:t>deliverable</w:t>
      </w:r>
      <w:proofErr w:type="gramEnd"/>
      <w:r w:rsidRPr="001B55EE">
        <w:rPr>
          <w:rFonts w:ascii="Times New Roman" w:hAnsi="Times New Roman" w:cs="Times New Roman"/>
          <w:sz w:val="22"/>
          <w:szCs w:val="22"/>
        </w:rPr>
        <w:t xml:space="preserv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w:t>
      </w:r>
      <w:proofErr w:type="gramStart"/>
      <w:r w:rsidRPr="001B55EE">
        <w:rPr>
          <w:rFonts w:ascii="Times New Roman" w:hAnsi="Times New Roman" w:cs="Times New Roman"/>
          <w:sz w:val="22"/>
          <w:szCs w:val="22"/>
        </w:rPr>
        <w:t>) (#31) —</w:t>
      </w:r>
      <w:proofErr w:type="gramEnd"/>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lastRenderedPageBreak/>
        <w:t>6. Discussion</w:t>
      </w:r>
    </w:p>
    <w:p w14:paraId="3D6607D3" w14:textId="77777777" w:rsidR="00A11F5E" w:rsidRPr="00A11F5E" w:rsidRDefault="00A11F5E" w:rsidP="001B55EE">
      <w:pPr>
        <w:pStyle w:val="Heading2"/>
      </w:pPr>
      <w:r w:rsidRPr="00A11F5E">
        <w:t xml:space="preserve">6.1 What cost-structure levers can governments </w:t>
      </w:r>
      <w:proofErr w:type="gramStart"/>
      <w:r w:rsidRPr="00A11F5E">
        <w:t>actually influence</w:t>
      </w:r>
      <w:proofErr w:type="gramEnd"/>
      <w:r w:rsidRPr="00A11F5E">
        <w:t>?</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w:t>
      </w:r>
      <w:proofErr w:type="gramStart"/>
      <w:r w:rsidRPr="001B55EE">
        <w:rPr>
          <w:rFonts w:ascii="Times New Roman" w:hAnsi="Times New Roman" w:cs="Times New Roman"/>
          <w:sz w:val="22"/>
          <w:szCs w:val="22"/>
        </w:rPr>
        <w:t>actually move</w:t>
      </w:r>
      <w:proofErr w:type="gramEnd"/>
      <w:r w:rsidRPr="001B55EE">
        <w:rPr>
          <w:rFonts w:ascii="Times New Roman" w:hAnsi="Times New Roman" w:cs="Times New Roman"/>
          <w:sz w:val="22"/>
          <w:szCs w:val="22"/>
        </w:rPr>
        <w:t>.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Atik </w:t>
      </w:r>
      <w:proofErr w:type="spellStart"/>
      <w:r w:rsidRPr="001B55EE">
        <w:rPr>
          <w:rFonts w:ascii="Times New Roman" w:hAnsi="Times New Roman" w:cs="Times New Roman"/>
          <w:sz w:val="22"/>
          <w:szCs w:val="22"/>
        </w:rPr>
        <w:t>Gozkun</w:t>
      </w:r>
      <w:proofErr w:type="spellEnd"/>
      <w:r w:rsidRPr="001B55EE">
        <w:rPr>
          <w:rFonts w:ascii="Times New Roman" w:hAnsi="Times New Roman" w:cs="Times New Roman"/>
          <w:sz w:val="22"/>
          <w:szCs w:val="22"/>
        </w:rPr>
        <w:t xml:space="preserve"> &amp; </w:t>
      </w:r>
      <w:proofErr w:type="spellStart"/>
      <w:r w:rsidRPr="001B55EE">
        <w:rPr>
          <w:rFonts w:ascii="Times New Roman" w:hAnsi="Times New Roman" w:cs="Times New Roman"/>
          <w:sz w:val="22"/>
          <w:szCs w:val="22"/>
        </w:rPr>
        <w:t>Orhangazi</w:t>
      </w:r>
      <w:proofErr w:type="spellEnd"/>
      <w:r w:rsidRPr="001B55EE">
        <w:rPr>
          <w:rFonts w:ascii="Times New Roman" w:hAnsi="Times New Roman" w:cs="Times New Roman"/>
          <w:sz w:val="22"/>
          <w:szCs w:val="22"/>
        </w:rPr>
        <w:t xml:space="preserve">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Frame around what governments in developing countries can </w:t>
      </w:r>
      <w:proofErr w:type="gramStart"/>
      <w:r w:rsidRPr="001B55EE">
        <w:rPr>
          <w:rFonts w:ascii="Times New Roman" w:hAnsi="Times New Roman" w:cs="Times New Roman"/>
          <w:sz w:val="22"/>
          <w:szCs w:val="22"/>
        </w:rPr>
        <w:t>actually do</w:t>
      </w:r>
      <w:proofErr w:type="gramEnd"/>
      <w:r w:rsidRPr="001B55EE">
        <w:rPr>
          <w:rFonts w:ascii="Times New Roman" w:hAnsi="Times New Roman" w:cs="Times New Roman"/>
          <w:sz w:val="22"/>
          <w:szCs w:val="22"/>
        </w:rPr>
        <w:t>,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 xml:space="preserve">6.3 Relationship </w:t>
      </w:r>
      <w:proofErr w:type="gramStart"/>
      <w:r w:rsidRPr="00A11F5E">
        <w:t>to</w:t>
      </w:r>
      <w:proofErr w:type="gramEnd"/>
      <w:r w:rsidRPr="00A11F5E">
        <w:t xml:space="preserve">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w:t>
      </w:r>
      <w:proofErr w:type="gramStart"/>
      <w:r w:rsidRPr="001B55EE">
        <w:rPr>
          <w:rFonts w:ascii="Times New Roman" w:hAnsi="Times New Roman" w:cs="Times New Roman"/>
          <w:sz w:val="22"/>
          <w:szCs w:val="22"/>
        </w:rPr>
        <w:t>estimates</w:t>
      </w:r>
      <w:proofErr w:type="gramEnd"/>
      <w:r w:rsidRPr="001B55EE">
        <w:rPr>
          <w:rFonts w:ascii="Times New Roman" w:hAnsi="Times New Roman" w:cs="Times New Roman"/>
          <w:sz w:val="22"/>
          <w:szCs w:val="22"/>
        </w:rPr>
        <w:t xml:space="preserve"> of Bucker et al. (2025) are consistent with subsets of this paper’s ensemble — specifically, the subsets where cost-structure parameters are set near their reference values. The scenario discovery </w:t>
      </w:r>
      <w:proofErr w:type="gramStart"/>
      <w:r w:rsidRPr="001B55EE">
        <w:rPr>
          <w:rFonts w:ascii="Times New Roman" w:hAnsi="Times New Roman" w:cs="Times New Roman"/>
          <w:sz w:val="22"/>
          <w:szCs w:val="22"/>
        </w:rPr>
        <w:t>adds</w:t>
      </w:r>
      <w:proofErr w:type="gramEnd"/>
      <w:r w:rsidRPr="001B55EE">
        <w:rPr>
          <w:rFonts w:ascii="Times New Roman" w:hAnsi="Times New Roman" w:cs="Times New Roman"/>
          <w:sz w:val="22"/>
          <w:szCs w:val="22"/>
        </w:rPr>
        <w:t xml:space="preserve">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Callonnec</w:t>
      </w:r>
      <w:proofErr w:type="spellEnd"/>
      <w:r w:rsidRPr="001B55EE">
        <w:rPr>
          <w:rFonts w:ascii="Times New Roman" w:hAnsi="Times New Roman" w:cs="Times New Roman"/>
          <w:sz w:val="22"/>
          <w:szCs w:val="22"/>
        </w:rPr>
        <w:t xml:space="preserve">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w:t>
      </w:r>
      <w:proofErr w:type="gramStart"/>
      <w:r w:rsidRPr="001B55EE">
        <w:rPr>
          <w:rFonts w:ascii="Times New Roman" w:hAnsi="Times New Roman" w:cs="Times New Roman"/>
          <w:sz w:val="22"/>
          <w:szCs w:val="22"/>
        </w:rPr>
        <w:t>the literature</w:t>
      </w:r>
      <w:proofErr w:type="gramEnd"/>
      <w:r w:rsidRPr="001B55EE">
        <w:rPr>
          <w:rFonts w:ascii="Times New Roman" w:hAnsi="Times New Roman" w:cs="Times New Roman"/>
          <w:sz w:val="22"/>
          <w:szCs w:val="22"/>
        </w:rPr>
        <w:t>. Previous studies were not wrong — they reported one slice of a larger space.</w:t>
      </w:r>
    </w:p>
    <w:p w14:paraId="21AC6DDE" w14:textId="77777777" w:rsidR="00A11F5E" w:rsidRPr="00A11F5E" w:rsidRDefault="00A11F5E" w:rsidP="001B55EE">
      <w:pPr>
        <w:pStyle w:val="Heading2"/>
      </w:pPr>
      <w:r w:rsidRPr="00A11F5E">
        <w:lastRenderedPageBreak/>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w:t>
      </w:r>
      <w:proofErr w:type="gramStart"/>
      <w:r w:rsidRPr="001B55EE">
        <w:rPr>
          <w:rFonts w:ascii="Times New Roman" w:hAnsi="Times New Roman" w:cs="Times New Roman"/>
          <w:sz w:val="22"/>
          <w:szCs w:val="22"/>
        </w:rPr>
        <w:t>) (#</w:t>
      </w:r>
      <w:proofErr w:type="gramEnd"/>
      <w:r w:rsidRPr="001B55EE">
        <w:rPr>
          <w:rFonts w:ascii="Times New Roman" w:hAnsi="Times New Roman" w:cs="Times New Roman"/>
          <w:sz w:val="22"/>
          <w:szCs w:val="22"/>
        </w:rPr>
        <w:t>50) or Curtis &amp; Marinescu (2023</w:t>
      </w:r>
      <w:proofErr w:type="gramStart"/>
      <w:r w:rsidRPr="001B55EE">
        <w:rPr>
          <w:rFonts w:ascii="Times New Roman" w:hAnsi="Times New Roman" w:cs="Times New Roman"/>
          <w:sz w:val="22"/>
          <w:szCs w:val="22"/>
        </w:rPr>
        <w:t>) (#52) —</w:t>
      </w:r>
      <w:proofErr w:type="gramEnd"/>
      <w:r w:rsidRPr="001B55EE">
        <w:rPr>
          <w:rFonts w:ascii="Times New Roman" w:hAnsi="Times New Roman" w:cs="Times New Roman"/>
          <w:sz w:val="22"/>
          <w:szCs w:val="22"/>
        </w:rPr>
        <w:t xml:space="preserve">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w:t>
      </w:r>
      <w:proofErr w:type="gramStart"/>
      <w:r w:rsidRPr="001B55EE">
        <w:rPr>
          <w:rFonts w:ascii="Times New Roman" w:hAnsi="Times New Roman" w:cs="Times New Roman"/>
          <w:sz w:val="22"/>
          <w:szCs w:val="22"/>
        </w:rPr>
        <w:t>a question</w:t>
      </w:r>
      <w:proofErr w:type="gramEnd"/>
      <w:r w:rsidRPr="001B55EE">
        <w:rPr>
          <w:rFonts w:ascii="Times New Roman" w:hAnsi="Times New Roman" w:cs="Times New Roman"/>
          <w:sz w:val="22"/>
          <w:szCs w:val="22"/>
        </w:rPr>
        <w:t xml:space="preserve">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 new references needed. The conclusion should </w:t>
      </w:r>
      <w:proofErr w:type="gramStart"/>
      <w:r w:rsidRPr="001B55EE">
        <w:rPr>
          <w:rFonts w:ascii="Times New Roman" w:hAnsi="Times New Roman" w:cs="Times New Roman"/>
          <w:sz w:val="22"/>
          <w:szCs w:val="22"/>
        </w:rPr>
        <w:t>draw</w:t>
      </w:r>
      <w:proofErr w:type="gramEnd"/>
      <w:r w:rsidRPr="001B55EE">
        <w:rPr>
          <w:rFonts w:ascii="Times New Roman" w:hAnsi="Times New Roman" w:cs="Times New Roman"/>
          <w:sz w:val="22"/>
          <w:szCs w:val="22"/>
        </w:rPr>
        <w:t xml:space="preserve">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6F62D5C8" w14:textId="510E8794"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544C58">
        <w:rPr>
          <w:rFonts w:ascii="Times New Roman" w:hAnsi="Times New Roman" w:cs="Times New Roman"/>
          <w:sz w:val="22"/>
          <w:szCs w:val="22"/>
          <w:lang w:val="pt-BR"/>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65A52F09" w14:textId="5DEC42EA"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0158012F" w14:textId="03A41C0B"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lastRenderedPageBreak/>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75DFED0A" w14:textId="2A6A6767" w:rsidR="00EC5B72" w:rsidRDefault="00EC5B72" w:rsidP="00A11F5E">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59B1E762" w14:textId="48FAEE05"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 xml:space="preserve">O'Callaghan, B., Yau, N., &amp; Hepburn, C. (2022). How stimulating is </w:t>
      </w:r>
      <w:proofErr w:type="gramStart"/>
      <w:r w:rsidRPr="00DB68A7">
        <w:rPr>
          <w:rFonts w:ascii="Times New Roman" w:hAnsi="Times New Roman" w:cs="Times New Roman"/>
          <w:sz w:val="22"/>
          <w:szCs w:val="22"/>
        </w:rPr>
        <w:t>a green</w:t>
      </w:r>
      <w:proofErr w:type="gramEnd"/>
      <w:r w:rsidRPr="00DB68A7">
        <w:rPr>
          <w:rFonts w:ascii="Times New Roman" w:hAnsi="Times New Roman" w:cs="Times New Roman"/>
          <w:sz w:val="22"/>
          <w:szCs w:val="22"/>
        </w:rPr>
        <w:t xml:space="preserve">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2C3BE71E" w14:textId="795EA2FB"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680863E1" w14:textId="02ACD5DD" w:rsidR="007E3EBA"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4D47ED6F" w14:textId="2E3EDE7A" w:rsidR="006341DA" w:rsidRDefault="006341DA" w:rsidP="002E4CE0">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4278B" w14:textId="77777777" w:rsidR="00F442FC" w:rsidRDefault="00F442FC" w:rsidP="0030742D">
      <w:pPr>
        <w:spacing w:after="0" w:line="240" w:lineRule="auto"/>
      </w:pPr>
      <w:r>
        <w:separator/>
      </w:r>
    </w:p>
  </w:endnote>
  <w:endnote w:type="continuationSeparator" w:id="0">
    <w:p w14:paraId="65D94BAB" w14:textId="77777777" w:rsidR="00F442FC" w:rsidRDefault="00F442FC"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A1987" w14:textId="77777777" w:rsidR="00F442FC" w:rsidRDefault="00F442FC" w:rsidP="0030742D">
      <w:pPr>
        <w:spacing w:after="0" w:line="240" w:lineRule="auto"/>
      </w:pPr>
      <w:r>
        <w:separator/>
      </w:r>
    </w:p>
  </w:footnote>
  <w:footnote w:type="continuationSeparator" w:id="0">
    <w:p w14:paraId="767749FF" w14:textId="77777777" w:rsidR="00F442FC" w:rsidRDefault="00F442FC"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4462F6E9"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 xml:space="preserve">In general,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w:t>
      </w:r>
      <w:r w:rsidR="00A1172A">
        <w:rPr>
          <w:rFonts w:ascii="Times New Roman" w:hAnsi="Times New Roman" w:cs="Times New Roman"/>
        </w:rPr>
        <w:t xml:space="preserve">for </w:t>
      </w:r>
      <w:r>
        <w:rPr>
          <w:rFonts w:ascii="Times New Roman" w:hAnsi="Times New Roman" w:cs="Times New Roman"/>
        </w:rPr>
        <w:t>assum</w:t>
      </w:r>
      <w:r w:rsidR="00A1172A">
        <w:rPr>
          <w:rFonts w:ascii="Times New Roman" w:hAnsi="Times New Roman" w:cs="Times New Roman"/>
        </w:rPr>
        <w:t>ing</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40D6"/>
    <w:rsid w:val="00006438"/>
    <w:rsid w:val="00015AB2"/>
    <w:rsid w:val="00022913"/>
    <w:rsid w:val="000241E6"/>
    <w:rsid w:val="000258E8"/>
    <w:rsid w:val="000346C6"/>
    <w:rsid w:val="00035217"/>
    <w:rsid w:val="000404B5"/>
    <w:rsid w:val="000411AD"/>
    <w:rsid w:val="00041417"/>
    <w:rsid w:val="0004615E"/>
    <w:rsid w:val="0005012B"/>
    <w:rsid w:val="00051626"/>
    <w:rsid w:val="00053083"/>
    <w:rsid w:val="000556E8"/>
    <w:rsid w:val="0006372D"/>
    <w:rsid w:val="00064452"/>
    <w:rsid w:val="00064674"/>
    <w:rsid w:val="00083315"/>
    <w:rsid w:val="00085D15"/>
    <w:rsid w:val="000864CE"/>
    <w:rsid w:val="000A09D3"/>
    <w:rsid w:val="000A4F90"/>
    <w:rsid w:val="000B63AC"/>
    <w:rsid w:val="000B75E2"/>
    <w:rsid w:val="000D2FCF"/>
    <w:rsid w:val="000D38C2"/>
    <w:rsid w:val="000D48B1"/>
    <w:rsid w:val="000D505F"/>
    <w:rsid w:val="000D61E3"/>
    <w:rsid w:val="000E3544"/>
    <w:rsid w:val="000F07BC"/>
    <w:rsid w:val="000F1B2E"/>
    <w:rsid w:val="000F74E9"/>
    <w:rsid w:val="00102450"/>
    <w:rsid w:val="00113CFB"/>
    <w:rsid w:val="001217A8"/>
    <w:rsid w:val="00134188"/>
    <w:rsid w:val="00137FAE"/>
    <w:rsid w:val="00146ECD"/>
    <w:rsid w:val="001540BD"/>
    <w:rsid w:val="00156112"/>
    <w:rsid w:val="00161A77"/>
    <w:rsid w:val="001629F7"/>
    <w:rsid w:val="00163BCC"/>
    <w:rsid w:val="001675FE"/>
    <w:rsid w:val="00170F51"/>
    <w:rsid w:val="00173691"/>
    <w:rsid w:val="00182062"/>
    <w:rsid w:val="00182505"/>
    <w:rsid w:val="001854C5"/>
    <w:rsid w:val="00194CC7"/>
    <w:rsid w:val="00195F4C"/>
    <w:rsid w:val="001A0498"/>
    <w:rsid w:val="001A5C05"/>
    <w:rsid w:val="001B41FB"/>
    <w:rsid w:val="001B55EE"/>
    <w:rsid w:val="001E1D85"/>
    <w:rsid w:val="001E455C"/>
    <w:rsid w:val="001E4BAC"/>
    <w:rsid w:val="001F4145"/>
    <w:rsid w:val="001F7014"/>
    <w:rsid w:val="00210191"/>
    <w:rsid w:val="00214465"/>
    <w:rsid w:val="00217F78"/>
    <w:rsid w:val="00232527"/>
    <w:rsid w:val="00235424"/>
    <w:rsid w:val="002378CD"/>
    <w:rsid w:val="002416E1"/>
    <w:rsid w:val="00246F52"/>
    <w:rsid w:val="00250EE3"/>
    <w:rsid w:val="00251A6D"/>
    <w:rsid w:val="00252534"/>
    <w:rsid w:val="00252C7F"/>
    <w:rsid w:val="002567A9"/>
    <w:rsid w:val="002633C9"/>
    <w:rsid w:val="00263750"/>
    <w:rsid w:val="0026499D"/>
    <w:rsid w:val="00271484"/>
    <w:rsid w:val="002732F6"/>
    <w:rsid w:val="0027549D"/>
    <w:rsid w:val="0028283E"/>
    <w:rsid w:val="00284A9C"/>
    <w:rsid w:val="00297CE7"/>
    <w:rsid w:val="002A2D5A"/>
    <w:rsid w:val="002A70C9"/>
    <w:rsid w:val="002B44FC"/>
    <w:rsid w:val="002B75C0"/>
    <w:rsid w:val="002C46C8"/>
    <w:rsid w:val="002C49D8"/>
    <w:rsid w:val="002D76F8"/>
    <w:rsid w:val="002E177D"/>
    <w:rsid w:val="002E4CE0"/>
    <w:rsid w:val="002E7830"/>
    <w:rsid w:val="002F1745"/>
    <w:rsid w:val="002F194D"/>
    <w:rsid w:val="002F34FB"/>
    <w:rsid w:val="002F396C"/>
    <w:rsid w:val="00300855"/>
    <w:rsid w:val="0030742D"/>
    <w:rsid w:val="00307935"/>
    <w:rsid w:val="003103A9"/>
    <w:rsid w:val="003130B2"/>
    <w:rsid w:val="003132F7"/>
    <w:rsid w:val="0031418A"/>
    <w:rsid w:val="00317FC6"/>
    <w:rsid w:val="0032223E"/>
    <w:rsid w:val="00323643"/>
    <w:rsid w:val="00324E7E"/>
    <w:rsid w:val="00337271"/>
    <w:rsid w:val="00343E9E"/>
    <w:rsid w:val="003469D2"/>
    <w:rsid w:val="00355FA9"/>
    <w:rsid w:val="003670ED"/>
    <w:rsid w:val="00377534"/>
    <w:rsid w:val="00380E59"/>
    <w:rsid w:val="003874D2"/>
    <w:rsid w:val="00391E30"/>
    <w:rsid w:val="00397D11"/>
    <w:rsid w:val="00397DDC"/>
    <w:rsid w:val="003A215E"/>
    <w:rsid w:val="003A58F8"/>
    <w:rsid w:val="003B4A02"/>
    <w:rsid w:val="003C0AE1"/>
    <w:rsid w:val="003C1C52"/>
    <w:rsid w:val="003C51D6"/>
    <w:rsid w:val="003C6430"/>
    <w:rsid w:val="003C779A"/>
    <w:rsid w:val="003D0062"/>
    <w:rsid w:val="003E5359"/>
    <w:rsid w:val="003E6292"/>
    <w:rsid w:val="003E7BDB"/>
    <w:rsid w:val="0040440F"/>
    <w:rsid w:val="0040541B"/>
    <w:rsid w:val="00424ADA"/>
    <w:rsid w:val="0043035C"/>
    <w:rsid w:val="0043153B"/>
    <w:rsid w:val="00435E9E"/>
    <w:rsid w:val="00436028"/>
    <w:rsid w:val="00440054"/>
    <w:rsid w:val="00443197"/>
    <w:rsid w:val="00463652"/>
    <w:rsid w:val="00464433"/>
    <w:rsid w:val="0046674C"/>
    <w:rsid w:val="00472790"/>
    <w:rsid w:val="004731C8"/>
    <w:rsid w:val="004A1AD8"/>
    <w:rsid w:val="004A435D"/>
    <w:rsid w:val="004B06BB"/>
    <w:rsid w:val="004B3B6F"/>
    <w:rsid w:val="004B41BC"/>
    <w:rsid w:val="004C00BA"/>
    <w:rsid w:val="004C0100"/>
    <w:rsid w:val="004C1C57"/>
    <w:rsid w:val="004C6C20"/>
    <w:rsid w:val="004D1142"/>
    <w:rsid w:val="004D4057"/>
    <w:rsid w:val="004E351A"/>
    <w:rsid w:val="004F451E"/>
    <w:rsid w:val="00500DE3"/>
    <w:rsid w:val="005028F8"/>
    <w:rsid w:val="0051275A"/>
    <w:rsid w:val="00512CC8"/>
    <w:rsid w:val="00515266"/>
    <w:rsid w:val="00522269"/>
    <w:rsid w:val="0052238A"/>
    <w:rsid w:val="00523004"/>
    <w:rsid w:val="005314B4"/>
    <w:rsid w:val="00532CC5"/>
    <w:rsid w:val="005415E9"/>
    <w:rsid w:val="00544C58"/>
    <w:rsid w:val="00554503"/>
    <w:rsid w:val="00557555"/>
    <w:rsid w:val="00561558"/>
    <w:rsid w:val="0056220B"/>
    <w:rsid w:val="00566B92"/>
    <w:rsid w:val="00570944"/>
    <w:rsid w:val="00577D60"/>
    <w:rsid w:val="005965B6"/>
    <w:rsid w:val="00596629"/>
    <w:rsid w:val="005A6035"/>
    <w:rsid w:val="005E1C49"/>
    <w:rsid w:val="005E2D9A"/>
    <w:rsid w:val="006041FA"/>
    <w:rsid w:val="00604E72"/>
    <w:rsid w:val="00606019"/>
    <w:rsid w:val="00606A71"/>
    <w:rsid w:val="00613983"/>
    <w:rsid w:val="00614FCD"/>
    <w:rsid w:val="00616B0A"/>
    <w:rsid w:val="00620380"/>
    <w:rsid w:val="00620521"/>
    <w:rsid w:val="006218BE"/>
    <w:rsid w:val="00623E19"/>
    <w:rsid w:val="006341DA"/>
    <w:rsid w:val="00643700"/>
    <w:rsid w:val="00647BBA"/>
    <w:rsid w:val="00653315"/>
    <w:rsid w:val="006550B6"/>
    <w:rsid w:val="00662D4E"/>
    <w:rsid w:val="0066311D"/>
    <w:rsid w:val="00663A28"/>
    <w:rsid w:val="00667818"/>
    <w:rsid w:val="00677716"/>
    <w:rsid w:val="0068286B"/>
    <w:rsid w:val="00685EE1"/>
    <w:rsid w:val="00691FCF"/>
    <w:rsid w:val="006928C5"/>
    <w:rsid w:val="00695F7C"/>
    <w:rsid w:val="006A43B3"/>
    <w:rsid w:val="006A7E98"/>
    <w:rsid w:val="006B2546"/>
    <w:rsid w:val="006B58EC"/>
    <w:rsid w:val="006C6886"/>
    <w:rsid w:val="006D0619"/>
    <w:rsid w:val="006E3258"/>
    <w:rsid w:val="006E67E1"/>
    <w:rsid w:val="006F27D3"/>
    <w:rsid w:val="0070646F"/>
    <w:rsid w:val="007064A2"/>
    <w:rsid w:val="00713C67"/>
    <w:rsid w:val="007161AF"/>
    <w:rsid w:val="00722EF4"/>
    <w:rsid w:val="007318E3"/>
    <w:rsid w:val="007320C0"/>
    <w:rsid w:val="0073687E"/>
    <w:rsid w:val="007506A0"/>
    <w:rsid w:val="00750F24"/>
    <w:rsid w:val="00751F6E"/>
    <w:rsid w:val="00760630"/>
    <w:rsid w:val="007624A3"/>
    <w:rsid w:val="007628CF"/>
    <w:rsid w:val="00772557"/>
    <w:rsid w:val="00773917"/>
    <w:rsid w:val="00774E69"/>
    <w:rsid w:val="00776D38"/>
    <w:rsid w:val="00781923"/>
    <w:rsid w:val="0078604A"/>
    <w:rsid w:val="007861D3"/>
    <w:rsid w:val="00786BA7"/>
    <w:rsid w:val="007906A8"/>
    <w:rsid w:val="00790BFE"/>
    <w:rsid w:val="007A03E3"/>
    <w:rsid w:val="007A4D98"/>
    <w:rsid w:val="007A51A5"/>
    <w:rsid w:val="007B0923"/>
    <w:rsid w:val="007B211C"/>
    <w:rsid w:val="007C1790"/>
    <w:rsid w:val="007C3AE7"/>
    <w:rsid w:val="007C629C"/>
    <w:rsid w:val="007D0EE2"/>
    <w:rsid w:val="007E3560"/>
    <w:rsid w:val="007E3E31"/>
    <w:rsid w:val="007E3EBA"/>
    <w:rsid w:val="007E48E5"/>
    <w:rsid w:val="007E620C"/>
    <w:rsid w:val="007E6E85"/>
    <w:rsid w:val="007F078D"/>
    <w:rsid w:val="007F4D78"/>
    <w:rsid w:val="007F6DEA"/>
    <w:rsid w:val="007F77F3"/>
    <w:rsid w:val="0082038F"/>
    <w:rsid w:val="008234D5"/>
    <w:rsid w:val="00826E5E"/>
    <w:rsid w:val="00836347"/>
    <w:rsid w:val="00840112"/>
    <w:rsid w:val="0084646F"/>
    <w:rsid w:val="00853BCA"/>
    <w:rsid w:val="008556DA"/>
    <w:rsid w:val="00855D8D"/>
    <w:rsid w:val="008616EF"/>
    <w:rsid w:val="00861761"/>
    <w:rsid w:val="00862ABB"/>
    <w:rsid w:val="00867938"/>
    <w:rsid w:val="00874723"/>
    <w:rsid w:val="00875705"/>
    <w:rsid w:val="00881E5A"/>
    <w:rsid w:val="008834DE"/>
    <w:rsid w:val="00887882"/>
    <w:rsid w:val="00891442"/>
    <w:rsid w:val="00893841"/>
    <w:rsid w:val="00893B0C"/>
    <w:rsid w:val="00893E04"/>
    <w:rsid w:val="0089720D"/>
    <w:rsid w:val="008A48A9"/>
    <w:rsid w:val="008A4A6F"/>
    <w:rsid w:val="008A5EC9"/>
    <w:rsid w:val="008A69F7"/>
    <w:rsid w:val="008B1AB1"/>
    <w:rsid w:val="008B6A45"/>
    <w:rsid w:val="008C41B6"/>
    <w:rsid w:val="008D0B79"/>
    <w:rsid w:val="008D172A"/>
    <w:rsid w:val="008D6213"/>
    <w:rsid w:val="008D6B0B"/>
    <w:rsid w:val="008D7A77"/>
    <w:rsid w:val="008D7D84"/>
    <w:rsid w:val="008E39F1"/>
    <w:rsid w:val="008E65E8"/>
    <w:rsid w:val="008E7308"/>
    <w:rsid w:val="008F2A73"/>
    <w:rsid w:val="0090086D"/>
    <w:rsid w:val="009037A9"/>
    <w:rsid w:val="009217AC"/>
    <w:rsid w:val="00922635"/>
    <w:rsid w:val="009301B2"/>
    <w:rsid w:val="00934ABB"/>
    <w:rsid w:val="0094401E"/>
    <w:rsid w:val="009464CD"/>
    <w:rsid w:val="0096457A"/>
    <w:rsid w:val="0096459E"/>
    <w:rsid w:val="00982940"/>
    <w:rsid w:val="009957E9"/>
    <w:rsid w:val="00996671"/>
    <w:rsid w:val="00997008"/>
    <w:rsid w:val="00997EB5"/>
    <w:rsid w:val="009A0080"/>
    <w:rsid w:val="009B2568"/>
    <w:rsid w:val="009B429A"/>
    <w:rsid w:val="009B4393"/>
    <w:rsid w:val="009C597C"/>
    <w:rsid w:val="009D5999"/>
    <w:rsid w:val="009E732D"/>
    <w:rsid w:val="009F1AFF"/>
    <w:rsid w:val="009F3C7C"/>
    <w:rsid w:val="00A02923"/>
    <w:rsid w:val="00A1172A"/>
    <w:rsid w:val="00A11F5E"/>
    <w:rsid w:val="00A14497"/>
    <w:rsid w:val="00A164BF"/>
    <w:rsid w:val="00A26A3B"/>
    <w:rsid w:val="00A306C3"/>
    <w:rsid w:val="00A30B46"/>
    <w:rsid w:val="00A53BAB"/>
    <w:rsid w:val="00A56A31"/>
    <w:rsid w:val="00A61BB2"/>
    <w:rsid w:val="00A713A5"/>
    <w:rsid w:val="00A775E2"/>
    <w:rsid w:val="00A77A06"/>
    <w:rsid w:val="00A81520"/>
    <w:rsid w:val="00A83E96"/>
    <w:rsid w:val="00A84B8E"/>
    <w:rsid w:val="00A8774F"/>
    <w:rsid w:val="00A87CF3"/>
    <w:rsid w:val="00A944A3"/>
    <w:rsid w:val="00A953DE"/>
    <w:rsid w:val="00A962E0"/>
    <w:rsid w:val="00AB5D09"/>
    <w:rsid w:val="00AB70E2"/>
    <w:rsid w:val="00AB7E76"/>
    <w:rsid w:val="00AC5AAC"/>
    <w:rsid w:val="00AC7B20"/>
    <w:rsid w:val="00AD57C4"/>
    <w:rsid w:val="00AE2F6C"/>
    <w:rsid w:val="00AF2728"/>
    <w:rsid w:val="00AF63CE"/>
    <w:rsid w:val="00AF681F"/>
    <w:rsid w:val="00B01AC5"/>
    <w:rsid w:val="00B07F5B"/>
    <w:rsid w:val="00B23E23"/>
    <w:rsid w:val="00B24663"/>
    <w:rsid w:val="00B24B86"/>
    <w:rsid w:val="00B266DF"/>
    <w:rsid w:val="00B33B71"/>
    <w:rsid w:val="00B365DF"/>
    <w:rsid w:val="00B462F2"/>
    <w:rsid w:val="00B46903"/>
    <w:rsid w:val="00B51494"/>
    <w:rsid w:val="00B57503"/>
    <w:rsid w:val="00B6239F"/>
    <w:rsid w:val="00B6386B"/>
    <w:rsid w:val="00B63B19"/>
    <w:rsid w:val="00B808BF"/>
    <w:rsid w:val="00B8635D"/>
    <w:rsid w:val="00B936CD"/>
    <w:rsid w:val="00BA27AF"/>
    <w:rsid w:val="00BA2B7A"/>
    <w:rsid w:val="00BA7176"/>
    <w:rsid w:val="00BC1BDC"/>
    <w:rsid w:val="00BC24D9"/>
    <w:rsid w:val="00BC281E"/>
    <w:rsid w:val="00BC2936"/>
    <w:rsid w:val="00BC77F6"/>
    <w:rsid w:val="00BD079F"/>
    <w:rsid w:val="00BD3DEE"/>
    <w:rsid w:val="00BE5FE3"/>
    <w:rsid w:val="00BF09C7"/>
    <w:rsid w:val="00BF262C"/>
    <w:rsid w:val="00C04633"/>
    <w:rsid w:val="00C17D1A"/>
    <w:rsid w:val="00C23ED7"/>
    <w:rsid w:val="00C31DA2"/>
    <w:rsid w:val="00C5606D"/>
    <w:rsid w:val="00C61502"/>
    <w:rsid w:val="00C65EAA"/>
    <w:rsid w:val="00C765FE"/>
    <w:rsid w:val="00C77552"/>
    <w:rsid w:val="00C80AF6"/>
    <w:rsid w:val="00C8785C"/>
    <w:rsid w:val="00C906F5"/>
    <w:rsid w:val="00C927AE"/>
    <w:rsid w:val="00C95196"/>
    <w:rsid w:val="00CA3C90"/>
    <w:rsid w:val="00CB0367"/>
    <w:rsid w:val="00CB0F8F"/>
    <w:rsid w:val="00CC0DC1"/>
    <w:rsid w:val="00CC224A"/>
    <w:rsid w:val="00CC491C"/>
    <w:rsid w:val="00CC64E1"/>
    <w:rsid w:val="00CE1E9F"/>
    <w:rsid w:val="00CE6382"/>
    <w:rsid w:val="00CF0CE3"/>
    <w:rsid w:val="00CF4D2F"/>
    <w:rsid w:val="00CF7761"/>
    <w:rsid w:val="00D03FB5"/>
    <w:rsid w:val="00D13F3E"/>
    <w:rsid w:val="00D201CA"/>
    <w:rsid w:val="00D23CEF"/>
    <w:rsid w:val="00D30C7B"/>
    <w:rsid w:val="00D31756"/>
    <w:rsid w:val="00D539E8"/>
    <w:rsid w:val="00D60639"/>
    <w:rsid w:val="00D611AA"/>
    <w:rsid w:val="00D70E32"/>
    <w:rsid w:val="00D740D8"/>
    <w:rsid w:val="00D769ED"/>
    <w:rsid w:val="00D82842"/>
    <w:rsid w:val="00D909BC"/>
    <w:rsid w:val="00D94022"/>
    <w:rsid w:val="00DA52B1"/>
    <w:rsid w:val="00DB662C"/>
    <w:rsid w:val="00DB68A7"/>
    <w:rsid w:val="00DC73E5"/>
    <w:rsid w:val="00DD7FA2"/>
    <w:rsid w:val="00DE2199"/>
    <w:rsid w:val="00DE30EC"/>
    <w:rsid w:val="00DE68E1"/>
    <w:rsid w:val="00DE6FC9"/>
    <w:rsid w:val="00DE76CF"/>
    <w:rsid w:val="00DF0781"/>
    <w:rsid w:val="00DF2FD7"/>
    <w:rsid w:val="00DF78C0"/>
    <w:rsid w:val="00E00409"/>
    <w:rsid w:val="00E015D8"/>
    <w:rsid w:val="00E06A9B"/>
    <w:rsid w:val="00E0760B"/>
    <w:rsid w:val="00E107FF"/>
    <w:rsid w:val="00E1157D"/>
    <w:rsid w:val="00E158A6"/>
    <w:rsid w:val="00E225D5"/>
    <w:rsid w:val="00E24AB8"/>
    <w:rsid w:val="00E25255"/>
    <w:rsid w:val="00E35A16"/>
    <w:rsid w:val="00E40D1C"/>
    <w:rsid w:val="00E4550F"/>
    <w:rsid w:val="00E51EAE"/>
    <w:rsid w:val="00E56D41"/>
    <w:rsid w:val="00E579FC"/>
    <w:rsid w:val="00E57E36"/>
    <w:rsid w:val="00E677F0"/>
    <w:rsid w:val="00E750C0"/>
    <w:rsid w:val="00E87595"/>
    <w:rsid w:val="00E90C11"/>
    <w:rsid w:val="00E9303E"/>
    <w:rsid w:val="00E936A7"/>
    <w:rsid w:val="00E94C7D"/>
    <w:rsid w:val="00EA5215"/>
    <w:rsid w:val="00EA7F83"/>
    <w:rsid w:val="00EB2F41"/>
    <w:rsid w:val="00EB37BB"/>
    <w:rsid w:val="00EB4748"/>
    <w:rsid w:val="00EC22F5"/>
    <w:rsid w:val="00EC5B72"/>
    <w:rsid w:val="00ED006C"/>
    <w:rsid w:val="00ED0CE9"/>
    <w:rsid w:val="00EE0C7C"/>
    <w:rsid w:val="00EE27A7"/>
    <w:rsid w:val="00EE44B4"/>
    <w:rsid w:val="00EE640A"/>
    <w:rsid w:val="00F16B4C"/>
    <w:rsid w:val="00F20A62"/>
    <w:rsid w:val="00F2163A"/>
    <w:rsid w:val="00F2431B"/>
    <w:rsid w:val="00F249B2"/>
    <w:rsid w:val="00F24F03"/>
    <w:rsid w:val="00F26A56"/>
    <w:rsid w:val="00F27CAB"/>
    <w:rsid w:val="00F35668"/>
    <w:rsid w:val="00F357C9"/>
    <w:rsid w:val="00F442FC"/>
    <w:rsid w:val="00F525B1"/>
    <w:rsid w:val="00F54F70"/>
    <w:rsid w:val="00F565A6"/>
    <w:rsid w:val="00F610DC"/>
    <w:rsid w:val="00F61542"/>
    <w:rsid w:val="00F65B9E"/>
    <w:rsid w:val="00F666E0"/>
    <w:rsid w:val="00FA0B2E"/>
    <w:rsid w:val="00FA6CC5"/>
    <w:rsid w:val="00FC1F2D"/>
    <w:rsid w:val="00FC21F8"/>
    <w:rsid w:val="00FC31F3"/>
    <w:rsid w:val="00FD0F24"/>
    <w:rsid w:val="00FD29B4"/>
    <w:rsid w:val="00FD2C93"/>
    <w:rsid w:val="00FF3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13183</TotalTime>
  <Pages>20</Pages>
  <Words>7675</Words>
  <Characters>48127</Characters>
  <Application>Microsoft Office Word</Application>
  <DocSecurity>0</DocSecurity>
  <Lines>729</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421</cp:revision>
  <dcterms:created xsi:type="dcterms:W3CDTF">2026-05-02T17:31:00Z</dcterms:created>
  <dcterms:modified xsi:type="dcterms:W3CDTF">2026-05-14T20:35:00Z</dcterms:modified>
</cp:coreProperties>
</file>