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B23B3E" w:rsidRDefault="00EC561A" w:rsidP="00EC561A">
      <w:pPr>
        <w:pStyle w:val="Subtitle"/>
        <w:spacing w:after="0"/>
        <w:rPr>
          <w:sz w:val="24"/>
          <w:szCs w:val="24"/>
        </w:rPr>
      </w:pPr>
      <w:r w:rsidRPr="00B23B3E">
        <w:rPr>
          <w:sz w:val="24"/>
          <w:szCs w:val="24"/>
        </w:rPr>
        <w:t>Fernando Esteves</w:t>
      </w:r>
      <w:r w:rsidR="00E2366A" w:rsidRPr="00B23B3E">
        <w:rPr>
          <w:sz w:val="24"/>
          <w:szCs w:val="24"/>
        </w:rPr>
        <w:t>, James Syme, and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77EAE92B" w14:textId="77777777" w:rsidR="00C231C7" w:rsidRDefault="00C231C7" w:rsidP="00C231C7">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employment effects of green investment, </w:t>
      </w:r>
      <w:r w:rsidRPr="00B462F2">
        <w:rPr>
          <w:rFonts w:ascii="Times New Roman" w:hAnsi="Times New Roman" w:cs="Times New Roman"/>
          <w:sz w:val="22"/>
          <w:szCs w:val="22"/>
        </w:rPr>
        <w:t>compar</w:t>
      </w:r>
      <w:r>
        <w:rPr>
          <w:rFonts w:ascii="Times New Roman" w:hAnsi="Times New Roman" w:cs="Times New Roman"/>
          <w:sz w:val="22"/>
          <w:szCs w:val="22"/>
        </w:rPr>
        <w:t xml:space="preserve">ing </w:t>
      </w:r>
      <w:r w:rsidRPr="00B462F2">
        <w:rPr>
          <w:rFonts w:ascii="Times New Roman" w:hAnsi="Times New Roman" w:cs="Times New Roman"/>
          <w:sz w:val="22"/>
          <w:szCs w:val="22"/>
        </w:rPr>
        <w:t>the</w:t>
      </w:r>
      <w:r>
        <w:rPr>
          <w:rFonts w:ascii="Times New Roman" w:hAnsi="Times New Roman" w:cs="Times New Roman"/>
          <w:sz w:val="22"/>
          <w:szCs w:val="22"/>
        </w:rPr>
        <w:t xml:space="preserve"> </w:t>
      </w:r>
      <w:r w:rsidRPr="00B462F2">
        <w:rPr>
          <w:rFonts w:ascii="Times New Roman" w:hAnsi="Times New Roman" w:cs="Times New Roman"/>
          <w:sz w:val="22"/>
          <w:szCs w:val="22"/>
        </w:rPr>
        <w:t>economic advantages of green spending against other investments</w:t>
      </w:r>
      <w:r>
        <w:rPr>
          <w:rFonts w:ascii="Times New Roman" w:hAnsi="Times New Roman" w:cs="Times New Roman"/>
          <w:sz w:val="22"/>
          <w:szCs w:val="22"/>
        </w:rPr>
        <w:t>, have received substantial attention. Systematic reviews summarize evidence comparing</w:t>
      </w:r>
      <w:r w:rsidRPr="00566B92">
        <w:rPr>
          <w:rFonts w:ascii="Times New Roman" w:hAnsi="Times New Roman" w:cs="Times New Roman"/>
          <w:sz w:val="22"/>
          <w:szCs w:val="22"/>
        </w:rPr>
        <w:t xml:space="preserve"> higher</w:t>
      </w:r>
      <w:r>
        <w:rPr>
          <w:rFonts w:ascii="Times New Roman" w:hAnsi="Times New Roman" w:cs="Times New Roman"/>
          <w:sz w:val="22"/>
          <w:szCs w:val="22"/>
        </w:rPr>
        <w:t>-</w:t>
      </w:r>
      <w:r w:rsidRPr="00566B92">
        <w:rPr>
          <w:rFonts w:ascii="Times New Roman" w:hAnsi="Times New Roman" w:cs="Times New Roman"/>
          <w:sz w:val="22"/>
          <w:szCs w:val="22"/>
        </w:rPr>
        <w:t xml:space="preserve">carbon </w:t>
      </w:r>
      <w:r>
        <w:rPr>
          <w:rFonts w:ascii="Times New Roman" w:hAnsi="Times New Roman" w:cs="Times New Roman"/>
          <w:sz w:val="22"/>
          <w:szCs w:val="22"/>
        </w:rPr>
        <w:t>and</w:t>
      </w:r>
      <w:r w:rsidRPr="00566B92">
        <w:rPr>
          <w:rFonts w:ascii="Times New Roman" w:hAnsi="Times New Roman" w:cs="Times New Roman"/>
          <w:sz w:val="22"/>
          <w:szCs w:val="22"/>
        </w:rPr>
        <w:t xml:space="preserve"> low</w:t>
      </w:r>
      <w:r>
        <w:rPr>
          <w:rFonts w:ascii="Times New Roman" w:hAnsi="Times New Roman" w:cs="Times New Roman"/>
          <w:sz w:val="22"/>
          <w:szCs w:val="22"/>
        </w:rPr>
        <w:t>-</w:t>
      </w:r>
      <w:r w:rsidRPr="00566B92">
        <w:rPr>
          <w:rFonts w:ascii="Times New Roman" w:hAnsi="Times New Roman" w:cs="Times New Roman"/>
          <w:sz w:val="22"/>
          <w:szCs w:val="22"/>
        </w:rPr>
        <w:t>carbon</w:t>
      </w:r>
      <w:r>
        <w:rPr>
          <w:rFonts w:ascii="Times New Roman" w:hAnsi="Times New Roman" w:cs="Times New Roman"/>
          <w:sz w:val="22"/>
          <w:szCs w:val="22"/>
        </w:rPr>
        <w:t xml:space="preserve"> activities: the fossil fuel sector creates on average 5 per USD million invested compared to </w:t>
      </w:r>
      <w:r w:rsidRPr="000F74E9">
        <w:rPr>
          <w:rFonts w:ascii="Times New Roman" w:hAnsi="Times New Roman" w:cs="Times New Roman"/>
          <w:sz w:val="22"/>
          <w:szCs w:val="22"/>
        </w:rPr>
        <w:t>15 jobs</w:t>
      </w:r>
      <w:r>
        <w:rPr>
          <w:rFonts w:ascii="Times New Roman" w:hAnsi="Times New Roman" w:cs="Times New Roman"/>
          <w:sz w:val="22"/>
          <w:szCs w:val="22"/>
        </w:rPr>
        <w:t xml:space="preserve"> and 22 jobs per </w:t>
      </w:r>
      <w:r w:rsidRPr="000F74E9">
        <w:rPr>
          <w:rFonts w:ascii="Times New Roman" w:hAnsi="Times New Roman" w:cs="Times New Roman"/>
          <w:sz w:val="22"/>
          <w:szCs w:val="22"/>
        </w:rPr>
        <w:t>USD</w:t>
      </w:r>
      <w:r>
        <w:rPr>
          <w:rFonts w:ascii="Times New Roman" w:hAnsi="Times New Roman" w:cs="Times New Roman"/>
          <w:sz w:val="22"/>
          <w:szCs w:val="22"/>
        </w:rPr>
        <w:t xml:space="preserve"> </w:t>
      </w:r>
      <w:r w:rsidRPr="000F74E9">
        <w:rPr>
          <w:rFonts w:ascii="Times New Roman" w:hAnsi="Times New Roman" w:cs="Times New Roman"/>
          <w:sz w:val="22"/>
          <w:szCs w:val="22"/>
        </w:rPr>
        <w:t xml:space="preserve">million for the renewable energy </w:t>
      </w:r>
      <w:r>
        <w:rPr>
          <w:rFonts w:ascii="Times New Roman" w:hAnsi="Times New Roman" w:cs="Times New Roman"/>
          <w:sz w:val="22"/>
          <w:szCs w:val="22"/>
        </w:rPr>
        <w:t>and energy efficiency t</w:t>
      </w:r>
      <w:r w:rsidRPr="000F74E9">
        <w:rPr>
          <w:rFonts w:ascii="Times New Roman" w:hAnsi="Times New Roman" w:cs="Times New Roman"/>
          <w:sz w:val="22"/>
          <w:szCs w:val="22"/>
        </w:rPr>
        <w:t>echnologies</w:t>
      </w:r>
      <w:r>
        <w:rPr>
          <w:rFonts w:ascii="Times New Roman" w:hAnsi="Times New Roman" w:cs="Times New Roman"/>
          <w:sz w:val="22"/>
          <w:szCs w:val="22"/>
        </w:rPr>
        <w:t xml:space="preserve">, respectively (Hanna et al., 2024; O’Callaghan et at, 2022). Studies </w:t>
      </w:r>
      <w:r w:rsidRPr="001B55EE">
        <w:rPr>
          <w:rFonts w:ascii="Times New Roman" w:hAnsi="Times New Roman" w:cs="Times New Roman"/>
          <w:sz w:val="22"/>
          <w:szCs w:val="22"/>
        </w:rPr>
        <w:t>ha</w:t>
      </w:r>
      <w:r>
        <w:rPr>
          <w:rFonts w:ascii="Times New Roman" w:hAnsi="Times New Roman" w:cs="Times New Roman"/>
          <w:sz w:val="22"/>
          <w:szCs w:val="22"/>
        </w:rPr>
        <w:t>ve</w:t>
      </w:r>
      <w:r w:rsidRPr="001B55EE">
        <w:rPr>
          <w:rFonts w:ascii="Times New Roman" w:hAnsi="Times New Roman" w:cs="Times New Roman"/>
          <w:sz w:val="22"/>
          <w:szCs w:val="22"/>
        </w:rPr>
        <w:t xml:space="preserve">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particular</w:t>
      </w:r>
      <w:r>
        <w:rPr>
          <w:rFonts w:ascii="Times New Roman" w:hAnsi="Times New Roman" w:cs="Times New Roman"/>
          <w:sz w:val="22"/>
          <w:szCs w:val="22"/>
        </w:rPr>
        <w:t xml:space="preserve"> </w:t>
      </w:r>
      <w:r w:rsidRPr="001B55EE">
        <w:rPr>
          <w:rFonts w:ascii="Times New Roman" w:hAnsi="Times New Roman" w:cs="Times New Roman"/>
          <w:sz w:val="22"/>
          <w:szCs w:val="22"/>
        </w:rPr>
        <w:t xml:space="preserve">strengths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77777777" w:rsidR="00EC561A" w:rsidRDefault="00EC561A" w:rsidP="008C73F9">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table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w:t>
      </w:r>
      <w:r w:rsidRPr="00F26A56">
        <w:rPr>
          <w:rFonts w:ascii="Times New Roman" w:hAnsi="Times New Roman" w:cs="Times New Roman"/>
          <w:color w:val="000000" w:themeColor="text1"/>
          <w:sz w:val="22"/>
          <w:szCs w:val="22"/>
        </w:rPr>
        <w:lastRenderedPageBreak/>
        <w:t xml:space="preserve">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and </w:t>
      </w:r>
      <w:proofErr w:type="spellStart"/>
      <w:r w:rsidRPr="00F26A56">
        <w:rPr>
          <w:rFonts w:ascii="Times New Roman" w:hAnsi="Times New Roman" w:cs="Times New Roman"/>
          <w:color w:val="000000" w:themeColor="text1"/>
          <w:sz w:val="22"/>
          <w:szCs w:val="22"/>
        </w:rPr>
        <w:t>Balcilar</w:t>
      </w:r>
      <w:proofErr w:type="spellEnd"/>
      <w:r w:rsidRPr="00F26A56">
        <w:rPr>
          <w:rFonts w:ascii="Times New Roman" w:hAnsi="Times New Roman" w:cs="Times New Roman"/>
          <w:color w:val="000000" w:themeColor="text1"/>
          <w:sz w:val="22"/>
          <w:szCs w:val="22"/>
        </w:rPr>
        <w:t xml:space="preserve">, 2022; Perrier and </w:t>
      </w:r>
      <w:proofErr w:type="spellStart"/>
      <w:r w:rsidRPr="00F26A56">
        <w:rPr>
          <w:rFonts w:ascii="Times New Roman" w:hAnsi="Times New Roman" w:cs="Times New Roman"/>
          <w:color w:val="000000" w:themeColor="text1"/>
          <w:sz w:val="22"/>
          <w:szCs w:val="22"/>
        </w:rPr>
        <w:t>Quirrion</w:t>
      </w:r>
      <w:proofErr w:type="spellEnd"/>
      <w:r w:rsidRPr="00F26A56">
        <w:rPr>
          <w:rFonts w:ascii="Times New Roman" w:hAnsi="Times New Roman" w:cs="Times New Roman"/>
          <w:color w:val="000000" w:themeColor="text1"/>
          <w:sz w:val="22"/>
          <w:szCs w:val="22"/>
        </w:rPr>
        <w:t>,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7C138CF0" w:rsidR="00EC561A" w:rsidRPr="003874D2"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Neutel,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proofErr w:type="spellStart"/>
      <w:r w:rsidRPr="00E1157D">
        <w:rPr>
          <w:rFonts w:ascii="Times New Roman" w:hAnsi="Times New Roman" w:cs="Times New Roman"/>
          <w:sz w:val="22"/>
          <w:szCs w:val="22"/>
        </w:rPr>
        <w:t>Bulavskaya</w:t>
      </w:r>
      <w:proofErr w:type="spellEnd"/>
      <w:r>
        <w:rPr>
          <w:rFonts w:ascii="Times New Roman" w:hAnsi="Times New Roman" w:cs="Times New Roman"/>
          <w:sz w:val="22"/>
          <w:szCs w:val="22"/>
        </w:rPr>
        <w:t xml:space="preserve"> and </w:t>
      </w:r>
      <w:proofErr w:type="spellStart"/>
      <w:r>
        <w:rPr>
          <w:rFonts w:ascii="Times New Roman" w:hAnsi="Times New Roman" w:cs="Times New Roman"/>
          <w:sz w:val="22"/>
          <w:szCs w:val="22"/>
        </w:rPr>
        <w:t>Reynès</w:t>
      </w:r>
      <w:proofErr w:type="spellEnd"/>
      <w:r>
        <w:rPr>
          <w:rFonts w:ascii="Times New Roman" w:hAnsi="Times New Roman" w:cs="Times New Roman"/>
          <w:sz w:val="22"/>
          <w:szCs w:val="22"/>
        </w:rPr>
        <w:t xml:space="preserve">, 2018; Lofgren and </w:t>
      </w:r>
      <w:proofErr w:type="spellStart"/>
      <w:r>
        <w:rPr>
          <w:rFonts w:ascii="Times New Roman" w:hAnsi="Times New Roman" w:cs="Times New Roman"/>
          <w:sz w:val="22"/>
          <w:szCs w:val="22"/>
        </w:rPr>
        <w:t>Cicowiez</w:t>
      </w:r>
      <w:proofErr w:type="spellEnd"/>
      <w:r>
        <w:rPr>
          <w:rFonts w:ascii="Times New Roman" w:hAnsi="Times New Roman" w:cs="Times New Roman"/>
          <w:sz w:val="22"/>
          <w:szCs w:val="22"/>
        </w:rPr>
        <w:t xml:space="preserve">, 2017). </w:t>
      </w:r>
      <w:r w:rsidR="00565CAE" w:rsidRPr="00565CAE">
        <w:rPr>
          <w:rFonts w:ascii="Times New Roman" w:hAnsi="Times New Roman" w:cs="Times New Roman"/>
          <w:sz w:val="22"/>
          <w:szCs w:val="22"/>
        </w:rPr>
        <w:t>Despite these methodological developments, investments in green technology and mitigation actions are still modeled using cost structures treated as fixed parameters rather than as sources of uncertainty</w:t>
      </w:r>
      <w:r w:rsidRPr="00436028">
        <w:rPr>
          <w:rFonts w:ascii="Times New Roman" w:hAnsi="Times New Roman" w:cs="Times New Roman"/>
          <w:color w:val="000000" w:themeColor="text1"/>
          <w:sz w:val="22"/>
          <w:szCs w:val="22"/>
        </w:rPr>
        <w:t xml:space="preserve">. CGE employment results are sensitive to production function calibration and closure assumptions (Castellanos and </w:t>
      </w:r>
      <w:proofErr w:type="spellStart"/>
      <w:r w:rsidRPr="00436028">
        <w:rPr>
          <w:rFonts w:ascii="Times New Roman" w:hAnsi="Times New Roman" w:cs="Times New Roman"/>
          <w:color w:val="000000" w:themeColor="text1"/>
          <w:sz w:val="22"/>
          <w:szCs w:val="22"/>
        </w:rPr>
        <w:t>Heutel</w:t>
      </w:r>
      <w:proofErr w:type="spellEnd"/>
      <w:r w:rsidRPr="00436028">
        <w:rPr>
          <w:rFonts w:ascii="Times New Roman" w:hAnsi="Times New Roman" w:cs="Times New Roman"/>
          <w:color w:val="000000" w:themeColor="text1"/>
          <w:sz w:val="22"/>
          <w:szCs w:val="22"/>
        </w:rPr>
        <w:t xml:space="preserve">, 2024; </w:t>
      </w:r>
      <w:proofErr w:type="spellStart"/>
      <w:r w:rsidRPr="00436028">
        <w:rPr>
          <w:rFonts w:ascii="Times New Roman" w:hAnsi="Times New Roman" w:cs="Times New Roman"/>
          <w:color w:val="000000" w:themeColor="text1"/>
          <w:sz w:val="22"/>
          <w:szCs w:val="22"/>
        </w:rPr>
        <w:t>Hafstead</w:t>
      </w:r>
      <w:proofErr w:type="spellEnd"/>
      <w:r w:rsidRPr="00436028">
        <w:rPr>
          <w:rFonts w:ascii="Times New Roman" w:hAnsi="Times New Roman" w:cs="Times New Roman"/>
          <w:color w:val="000000" w:themeColor="text1"/>
          <w:sz w:val="22"/>
          <w:szCs w:val="22"/>
        </w:rPr>
        <w:t xml:space="preserve">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77777777" w:rsidR="00EC561A" w:rsidRPr="00232527"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A third strand, macro-econometric models</w:t>
      </w:r>
      <w:r>
        <w:rPr>
          <w:rFonts w:ascii="Times New Roman" w:hAnsi="Times New Roman" w:cs="Times New Roman"/>
          <w:sz w:val="22"/>
          <w:szCs w:val="22"/>
        </w:rPr>
        <w:t xml:space="preserve">, such as </w:t>
      </w:r>
      <w:r w:rsidRPr="00AF2728">
        <w:rPr>
          <w:rFonts w:ascii="Times New Roman" w:hAnsi="Times New Roman" w:cs="Times New Roman"/>
          <w:sz w:val="22"/>
          <w:szCs w:val="22"/>
        </w:rPr>
        <w:t>energy-environment-economy (3E) frameworks</w:t>
      </w:r>
      <w:r>
        <w:rPr>
          <w:rFonts w:ascii="Times New Roman" w:hAnsi="Times New Roman" w:cs="Times New Roman"/>
          <w:sz w:val="22"/>
          <w:szCs w:val="22"/>
        </w:rPr>
        <w:t xml:space="preserve"> (e.g., </w:t>
      </w:r>
      <w:r w:rsidRPr="001B55EE">
        <w:rPr>
          <w:rFonts w:ascii="Times New Roman" w:hAnsi="Times New Roman" w:cs="Times New Roman"/>
          <w:sz w:val="22"/>
          <w:szCs w:val="22"/>
        </w:rPr>
        <w:t>E3ME</w:t>
      </w:r>
      <w:r>
        <w:rPr>
          <w:rFonts w:ascii="Times New Roman" w:hAnsi="Times New Roman" w:cs="Times New Roman"/>
          <w:sz w:val="22"/>
          <w:szCs w:val="22"/>
        </w:rPr>
        <w:t xml:space="preserve">, NEMESIS), </w:t>
      </w:r>
      <w:r w:rsidRPr="001B55EE">
        <w:rPr>
          <w:rFonts w:ascii="Times New Roman" w:hAnsi="Times New Roman" w:cs="Times New Roman"/>
          <w:sz w:val="22"/>
          <w:szCs w:val="22"/>
        </w:rPr>
        <w:t>estimate dynamic adjustment from historical data</w:t>
      </w:r>
      <w:r w:rsidRPr="00DB662C">
        <w:rPr>
          <w:rFonts w:ascii="Times New Roman" w:hAnsi="Times New Roman" w:cs="Times New Roman"/>
          <w:sz w:val="22"/>
          <w:szCs w:val="22"/>
        </w:rPr>
        <w:t xml:space="preserve"> in terms of key economic variables (GDP, employment, investment</w:t>
      </w:r>
      <w:r>
        <w:rPr>
          <w:rFonts w:ascii="Times New Roman" w:hAnsi="Times New Roman" w:cs="Times New Roman"/>
          <w:sz w:val="22"/>
          <w:szCs w:val="22"/>
        </w:rPr>
        <w:t>) over time, and has been applied particularly to</w:t>
      </w:r>
      <w:r w:rsidRPr="005E1C49">
        <w:rPr>
          <w:rFonts w:ascii="Times New Roman" w:hAnsi="Times New Roman" w:cs="Times New Roman"/>
          <w:sz w:val="22"/>
          <w:szCs w:val="22"/>
        </w:rPr>
        <w:t xml:space="preserve"> economic</w:t>
      </w:r>
      <w:r>
        <w:rPr>
          <w:rFonts w:ascii="Times New Roman" w:hAnsi="Times New Roman" w:cs="Times New Roman"/>
          <w:sz w:val="22"/>
          <w:szCs w:val="22"/>
        </w:rPr>
        <w:t xml:space="preserve"> </w:t>
      </w:r>
      <w:r w:rsidRPr="005E1C49">
        <w:rPr>
          <w:rFonts w:ascii="Times New Roman" w:hAnsi="Times New Roman" w:cs="Times New Roman"/>
          <w:sz w:val="22"/>
          <w:szCs w:val="22"/>
        </w:rPr>
        <w:t>analysis of European energy and climate policy</w:t>
      </w:r>
      <w:r>
        <w:rPr>
          <w:rFonts w:ascii="Times New Roman" w:hAnsi="Times New Roman" w:cs="Times New Roman"/>
          <w:sz w:val="22"/>
          <w:szCs w:val="22"/>
        </w:rPr>
        <w:t xml:space="preserve"> (Ortega et al., 2020; Lehr and Lutz, 2019; </w:t>
      </w:r>
      <w:r w:rsidRPr="00FD29B4">
        <w:rPr>
          <w:rFonts w:ascii="Times New Roman" w:hAnsi="Times New Roman" w:cs="Times New Roman"/>
          <w:color w:val="000000" w:themeColor="text1"/>
          <w:sz w:val="22"/>
          <w:szCs w:val="22"/>
        </w:rPr>
        <w:t>Pollitt et al., 2015</w:t>
      </w:r>
      <w:r w:rsidRPr="00E9303E">
        <w:rPr>
          <w:rFonts w:ascii="Times New Roman" w:hAnsi="Times New Roman" w:cs="Times New Roman"/>
          <w:color w:val="000000" w:themeColor="text1"/>
          <w:sz w:val="22"/>
          <w:szCs w:val="22"/>
        </w:rPr>
        <w:t>)</w:t>
      </w:r>
      <w:r>
        <w:rPr>
          <w:rFonts w:ascii="Times New Roman" w:hAnsi="Times New Roman" w:cs="Times New Roman"/>
          <w:sz w:val="22"/>
          <w:szCs w:val="22"/>
        </w:rPr>
        <w:t xml:space="preserve">. Described as demand-led in the short to medium term, these models combine national accounting identities with estimated behavioral equations to assess how demand shocks – for instance, policy shocks, new investment – affect sectoral output, which feeds into the labor demand through sectoral production functions and wage-setting equations, avoiding the market clearing assumptions of standard CGE models (Cambridge </w:t>
      </w:r>
      <w:r w:rsidRPr="005E1C49">
        <w:rPr>
          <w:rFonts w:ascii="Times New Roman" w:hAnsi="Times New Roman" w:cs="Times New Roman"/>
          <w:sz w:val="22"/>
          <w:szCs w:val="22"/>
        </w:rPr>
        <w:t>Econometrics</w:t>
      </w:r>
      <w:r>
        <w:rPr>
          <w:rFonts w:ascii="Times New Roman" w:hAnsi="Times New Roman" w:cs="Times New Roman"/>
          <w:sz w:val="22"/>
          <w:szCs w:val="22"/>
        </w:rPr>
        <w:t xml:space="preserve">, 2022; </w:t>
      </w:r>
      <w:proofErr w:type="spellStart"/>
      <w:r w:rsidRPr="005E1C49">
        <w:rPr>
          <w:rFonts w:ascii="Times New Roman" w:hAnsi="Times New Roman" w:cs="Times New Roman"/>
          <w:sz w:val="22"/>
          <w:szCs w:val="22"/>
        </w:rPr>
        <w:t>Akcigit</w:t>
      </w:r>
      <w:proofErr w:type="spellEnd"/>
      <w:r w:rsidRPr="005E1C49">
        <w:rPr>
          <w:rFonts w:ascii="Times New Roman" w:hAnsi="Times New Roman" w:cs="Times New Roman"/>
          <w:sz w:val="22"/>
          <w:szCs w:val="22"/>
        </w:rPr>
        <w:t xml:space="preserve"> </w:t>
      </w:r>
      <w:r>
        <w:rPr>
          <w:rFonts w:ascii="Times New Roman" w:hAnsi="Times New Roman" w:cs="Times New Roman"/>
          <w:sz w:val="22"/>
          <w:szCs w:val="22"/>
        </w:rPr>
        <w:t xml:space="preserve">et al., 2022). A potential weakness is that core behavioral relationships are estimated or calibrated from historical time series data, meaning that investment-to-employment relationships may be less reliable for forward-looking policy analysis, particularly when applied to sectors whose cost and input structures are rapidly changing. Even granting that historical sector-specific interdependencies (e.g., intermediate consumption, technological transfers) are accurate representations, </w:t>
      </w:r>
      <w:r w:rsidRPr="0043035C">
        <w:rPr>
          <w:rFonts w:ascii="Times New Roman" w:hAnsi="Times New Roman" w:cs="Times New Roman"/>
          <w:sz w:val="22"/>
          <w:szCs w:val="22"/>
        </w:rPr>
        <w:t>it is reasonable to argue that if the initial demand shock</w:t>
      </w:r>
      <w:r>
        <w:rPr>
          <w:rFonts w:ascii="Times New Roman" w:hAnsi="Times New Roman" w:cs="Times New Roman"/>
          <w:sz w:val="22"/>
          <w:szCs w:val="22"/>
        </w:rPr>
        <w:t xml:space="preserve"> from</w:t>
      </w:r>
      <w:r w:rsidRPr="0043035C">
        <w:rPr>
          <w:rFonts w:ascii="Times New Roman" w:hAnsi="Times New Roman" w:cs="Times New Roman"/>
          <w:sz w:val="22"/>
          <w:szCs w:val="22"/>
        </w:rPr>
        <w:t xml:space="preserve"> climate investments</w:t>
      </w:r>
      <w:r>
        <w:rPr>
          <w:rFonts w:ascii="Times New Roman" w:hAnsi="Times New Roman" w:cs="Times New Roman"/>
          <w:sz w:val="22"/>
          <w:szCs w:val="22"/>
        </w:rPr>
        <w:t xml:space="preserve"> is mapped from an imprecise sectoral breakdown, the subsequent employment feedback will be distorted.</w:t>
      </w:r>
    </w:p>
    <w:p w14:paraId="352830BB" w14:textId="5A7BDAF5" w:rsidR="00EC561A"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6E75B6E8" w14:textId="5E84781D" w:rsidR="008C73F9" w:rsidRPr="008C73F9" w:rsidRDefault="008C73F9" w:rsidP="008C73F9">
      <w:pPr>
        <w:jc w:val="both"/>
        <w:rPr>
          <w:rFonts w:ascii="Times New Roman" w:hAnsi="Times New Roman" w:cs="Times New Roman"/>
          <w:sz w:val="22"/>
          <w:szCs w:val="22"/>
        </w:rPr>
      </w:pPr>
      <w:proofErr w:type="spellStart"/>
      <w:r w:rsidRPr="008C73F9">
        <w:rPr>
          <w:rFonts w:ascii="Times New Roman" w:hAnsi="Times New Roman" w:cs="Times New Roman"/>
          <w:sz w:val="22"/>
          <w:szCs w:val="22"/>
        </w:rPr>
        <w:t>sdsds</w:t>
      </w:r>
      <w:proofErr w:type="spellEnd"/>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4.1 The CCDR context and why this matters</w:t>
      </w:r>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6.1 What cost-structure levers can governments actually influence?</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6.3 Relationship to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3825B81D" w14:textId="77777777" w:rsidR="00303F39" w:rsidRPr="004C1C57" w:rsidRDefault="00303F39" w:rsidP="00303F39">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1A1505A8" w14:textId="77777777" w:rsidR="00303F39" w:rsidRDefault="00303F39" w:rsidP="00303F39">
      <w:pPr>
        <w:jc w:val="both"/>
        <w:rPr>
          <w:rFonts w:ascii="Times New Roman" w:hAnsi="Times New Roman" w:cs="Times New Roman"/>
          <w:sz w:val="22"/>
          <w:szCs w:val="22"/>
        </w:rPr>
      </w:pPr>
      <w:proofErr w:type="spellStart"/>
      <w:r w:rsidRPr="00303F39">
        <w:rPr>
          <w:rFonts w:ascii="Times New Roman" w:hAnsi="Times New Roman" w:cs="Times New Roman"/>
          <w:sz w:val="22"/>
          <w:szCs w:val="22"/>
        </w:rPr>
        <w:t>Akcigit</w:t>
      </w:r>
      <w:proofErr w:type="spellEnd"/>
      <w:r w:rsidRPr="00303F39">
        <w:rPr>
          <w:rFonts w:ascii="Times New Roman" w:hAnsi="Times New Roman" w:cs="Times New Roman"/>
          <w:sz w:val="22"/>
          <w:szCs w:val="22"/>
        </w:rPr>
        <w:t xml:space="preserve">, U., Benedetti Fasil, C., </w:t>
      </w:r>
      <w:proofErr w:type="spellStart"/>
      <w:r w:rsidRPr="00303F39">
        <w:rPr>
          <w:rFonts w:ascii="Times New Roman" w:hAnsi="Times New Roman" w:cs="Times New Roman"/>
          <w:sz w:val="22"/>
          <w:szCs w:val="22"/>
        </w:rPr>
        <w:t>Impullitti</w:t>
      </w:r>
      <w:proofErr w:type="spellEnd"/>
      <w:r w:rsidRPr="00303F39">
        <w:rPr>
          <w:rFonts w:ascii="Times New Roman" w:hAnsi="Times New Roman" w:cs="Times New Roman"/>
          <w:sz w:val="22"/>
          <w:szCs w:val="22"/>
        </w:rPr>
        <w:t xml:space="preserve">, G., </w:t>
      </w:r>
      <w:proofErr w:type="spellStart"/>
      <w:r w:rsidRPr="00303F39">
        <w:rPr>
          <w:rFonts w:ascii="Times New Roman" w:hAnsi="Times New Roman" w:cs="Times New Roman"/>
          <w:sz w:val="22"/>
          <w:szCs w:val="22"/>
        </w:rPr>
        <w:t>Licandro</w:t>
      </w:r>
      <w:proofErr w:type="spellEnd"/>
      <w:r w:rsidRPr="00303F39">
        <w:rPr>
          <w:rFonts w:ascii="Times New Roman" w:hAnsi="Times New Roman" w:cs="Times New Roman"/>
          <w:sz w:val="22"/>
          <w:szCs w:val="22"/>
        </w:rPr>
        <w:t>,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386BEB2" w14:textId="77777777" w:rsidR="00303F39" w:rsidRDefault="00303F39" w:rsidP="00303F39">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lastRenderedPageBreak/>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534E8323"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0609B2B4" w14:textId="77777777" w:rsidR="00303F39" w:rsidRDefault="00303F39" w:rsidP="00303F39">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3D1966D4"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28A98C7" w14:textId="77777777" w:rsidR="00303F39" w:rsidRDefault="00303F39" w:rsidP="00303F39">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A13C1E3" w14:textId="77777777" w:rsidR="00303F39" w:rsidRDefault="00303F39" w:rsidP="00303F39">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13021921" w14:textId="77777777" w:rsidR="00303F39" w:rsidRDefault="00303F39" w:rsidP="00303F39">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28ABD89"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2F96139A" w14:textId="77777777" w:rsidR="00303F39" w:rsidRPr="004C1C57" w:rsidRDefault="00303F39" w:rsidP="00303F39">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2B7AC4D4"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1FDDB03D" w14:textId="77777777" w:rsidR="00303F39" w:rsidRDefault="00303F39" w:rsidP="00303F39">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16BEE8FB" w14:textId="77777777" w:rsidR="00303F39" w:rsidRDefault="00303F39" w:rsidP="00303F39">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4FCB056" w14:textId="77777777" w:rsidR="00303F39" w:rsidRDefault="00303F39" w:rsidP="00303F39">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5D05B433" w14:textId="77777777" w:rsidR="00303F39" w:rsidRDefault="00303F39" w:rsidP="00303F39">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3EDEE404" w14:textId="77777777" w:rsidR="00303F39" w:rsidRDefault="00303F39" w:rsidP="00303F39">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07DE3EFB" w14:textId="77777777" w:rsidR="00303F39" w:rsidRDefault="00303F39" w:rsidP="00303F39">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7422C845"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lastRenderedPageBreak/>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7569FBE5" w14:textId="77777777" w:rsidR="00303F39" w:rsidRDefault="00303F39" w:rsidP="00303F39">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7DF171B4" w14:textId="77777777" w:rsidR="00303F39" w:rsidRDefault="00303F39" w:rsidP="00303F39">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32A40DCA" w14:textId="77777777" w:rsidR="00303F39" w:rsidRDefault="00303F39" w:rsidP="00303F39">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1;122:109657.</w:t>
      </w:r>
    </w:p>
    <w:p w14:paraId="5AB1BA8D"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F4E8797" w14:textId="77777777" w:rsidR="00303F39" w:rsidRDefault="00303F39" w:rsidP="00303F39">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2B499ED"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5581EC7E" w14:textId="77777777" w:rsidR="00303F39" w:rsidRPr="004C1C57"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8601DA7" w:rsidR="00EC561A" w:rsidRDefault="00303F39"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E4AFC" w14:textId="77777777" w:rsidR="00EC561A" w:rsidRDefault="00EC561A" w:rsidP="00EC561A">
      <w:pPr>
        <w:spacing w:after="0" w:line="240" w:lineRule="auto"/>
      </w:pPr>
      <w:r>
        <w:separator/>
      </w:r>
    </w:p>
  </w:endnote>
  <w:endnote w:type="continuationSeparator" w:id="0">
    <w:p w14:paraId="1B8B298B" w14:textId="77777777" w:rsidR="00EC561A" w:rsidRDefault="00EC561A"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CF6B2" w14:textId="77777777" w:rsidR="00EC561A" w:rsidRDefault="00EC561A" w:rsidP="00EC561A">
      <w:pPr>
        <w:spacing w:after="0" w:line="240" w:lineRule="auto"/>
      </w:pPr>
      <w:r>
        <w:separator/>
      </w:r>
    </w:p>
  </w:footnote>
  <w:footnote w:type="continuationSeparator" w:id="0">
    <w:p w14:paraId="10F99F65" w14:textId="77777777" w:rsidR="00EC561A" w:rsidRDefault="00EC561A"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C661C"/>
    <w:rsid w:val="00303F39"/>
    <w:rsid w:val="00565CAE"/>
    <w:rsid w:val="00620380"/>
    <w:rsid w:val="00790308"/>
    <w:rsid w:val="008C73F9"/>
    <w:rsid w:val="00B23B3E"/>
    <w:rsid w:val="00BC1BDC"/>
    <w:rsid w:val="00C231C7"/>
    <w:rsid w:val="00E2366A"/>
    <w:rsid w:val="00E703A6"/>
    <w:rsid w:val="00EC561A"/>
    <w:rsid w:val="00F12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77</TotalTime>
  <Pages>6</Pages>
  <Words>1682</Words>
  <Characters>10551</Characters>
  <Application>Microsoft Office Word</Application>
  <DocSecurity>0</DocSecurity>
  <Lines>159</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10</cp:revision>
  <dcterms:created xsi:type="dcterms:W3CDTF">2026-05-12T00:24:00Z</dcterms:created>
  <dcterms:modified xsi:type="dcterms:W3CDTF">2026-05-14T20:36:00Z</dcterms:modified>
</cp:coreProperties>
</file>