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79EF" w14:textId="77777777" w:rsidR="00EC561A" w:rsidRPr="00A11F5E" w:rsidRDefault="00EC561A" w:rsidP="00EC561A">
      <w:pPr>
        <w:pStyle w:val="Title"/>
        <w:rPr>
          <w:sz w:val="36"/>
          <w:szCs w:val="36"/>
        </w:rPr>
      </w:pPr>
      <w:r w:rsidRPr="00A11F5E">
        <w:rPr>
          <w:sz w:val="36"/>
          <w:szCs w:val="36"/>
        </w:rPr>
        <w:t>When do climate investments create jobs? The conditions behind employment creation</w:t>
      </w:r>
    </w:p>
    <w:p w14:paraId="66E3A7C1" w14:textId="3B99C7C8" w:rsidR="00EC561A" w:rsidRPr="00B23B3E" w:rsidRDefault="00EC561A" w:rsidP="00EC561A">
      <w:pPr>
        <w:pStyle w:val="Subtitle"/>
        <w:spacing w:after="0"/>
        <w:rPr>
          <w:sz w:val="24"/>
          <w:szCs w:val="24"/>
        </w:rPr>
      </w:pPr>
      <w:r w:rsidRPr="00B23B3E">
        <w:rPr>
          <w:sz w:val="24"/>
          <w:szCs w:val="24"/>
        </w:rPr>
        <w:t>Fernando Esteves</w:t>
      </w:r>
      <w:r w:rsidR="00E2366A" w:rsidRPr="00B23B3E">
        <w:rPr>
          <w:sz w:val="24"/>
          <w:szCs w:val="24"/>
        </w:rPr>
        <w:t>, James Syme, and Edmundo Molina</w:t>
      </w:r>
    </w:p>
    <w:p w14:paraId="22F8178B" w14:textId="77777777" w:rsidR="00EC561A" w:rsidRPr="00A11F5E" w:rsidRDefault="00EC561A" w:rsidP="00EC561A">
      <w:pPr>
        <w:pStyle w:val="Heading1"/>
      </w:pPr>
      <w:r w:rsidRPr="00A11F5E">
        <w:t>1. Introduction</w:t>
      </w:r>
    </w:p>
    <w:p w14:paraId="5A3C1EA6" w14:textId="77777777" w:rsidR="00EC561A" w:rsidRPr="00A11F5E" w:rsidRDefault="00EC561A" w:rsidP="00EC561A">
      <w:pPr>
        <w:pStyle w:val="Heading1"/>
      </w:pPr>
      <w:r w:rsidRPr="00A11F5E">
        <w:t>2. Literature Review</w:t>
      </w:r>
    </w:p>
    <w:p w14:paraId="4F70B666" w14:textId="1FB1D9C7" w:rsidR="00EC561A" w:rsidRPr="002A2D5A" w:rsidRDefault="00EC561A" w:rsidP="00EC561A">
      <w:pPr>
        <w:pStyle w:val="Heading2"/>
      </w:pPr>
      <w:r w:rsidRPr="00A11F5E">
        <w:t xml:space="preserve">2.1 </w:t>
      </w:r>
      <w:r w:rsidR="00F1229F" w:rsidRPr="00F1229F">
        <w:t>Three modelling traditions</w:t>
      </w:r>
      <w:r w:rsidR="00F1229F">
        <w:t xml:space="preserve"> in employment estimation</w:t>
      </w:r>
    </w:p>
    <w:p w14:paraId="77EAE92B" w14:textId="77777777" w:rsidR="00C231C7" w:rsidRDefault="00C231C7" w:rsidP="00C231C7">
      <w:pPr>
        <w:ind w:firstLine="720"/>
        <w:jc w:val="both"/>
        <w:rPr>
          <w:rFonts w:ascii="Times New Roman" w:hAnsi="Times New Roman" w:cs="Times New Roman"/>
          <w:color w:val="000000" w:themeColor="text1"/>
          <w:sz w:val="22"/>
          <w:szCs w:val="22"/>
        </w:rPr>
      </w:pPr>
      <w:r>
        <w:rPr>
          <w:rFonts w:ascii="Times New Roman" w:hAnsi="Times New Roman" w:cs="Times New Roman"/>
          <w:sz w:val="22"/>
          <w:szCs w:val="22"/>
        </w:rPr>
        <w:t xml:space="preserve">The employment effects of green investment, </w:t>
      </w:r>
      <w:r w:rsidRPr="00B462F2">
        <w:rPr>
          <w:rFonts w:ascii="Times New Roman" w:hAnsi="Times New Roman" w:cs="Times New Roman"/>
          <w:sz w:val="22"/>
          <w:szCs w:val="22"/>
        </w:rPr>
        <w:t>compar</w:t>
      </w:r>
      <w:r>
        <w:rPr>
          <w:rFonts w:ascii="Times New Roman" w:hAnsi="Times New Roman" w:cs="Times New Roman"/>
          <w:sz w:val="22"/>
          <w:szCs w:val="22"/>
        </w:rPr>
        <w:t xml:space="preserve">ing </w:t>
      </w:r>
      <w:r w:rsidRPr="00B462F2">
        <w:rPr>
          <w:rFonts w:ascii="Times New Roman" w:hAnsi="Times New Roman" w:cs="Times New Roman"/>
          <w:sz w:val="22"/>
          <w:szCs w:val="22"/>
        </w:rPr>
        <w:t>the</w:t>
      </w:r>
      <w:r>
        <w:rPr>
          <w:rFonts w:ascii="Times New Roman" w:hAnsi="Times New Roman" w:cs="Times New Roman"/>
          <w:sz w:val="22"/>
          <w:szCs w:val="22"/>
        </w:rPr>
        <w:t xml:space="preserve"> </w:t>
      </w:r>
      <w:r w:rsidRPr="00B462F2">
        <w:rPr>
          <w:rFonts w:ascii="Times New Roman" w:hAnsi="Times New Roman" w:cs="Times New Roman"/>
          <w:sz w:val="22"/>
          <w:szCs w:val="22"/>
        </w:rPr>
        <w:t>economic advantages of green spending against other investments</w:t>
      </w:r>
      <w:r>
        <w:rPr>
          <w:rFonts w:ascii="Times New Roman" w:hAnsi="Times New Roman" w:cs="Times New Roman"/>
          <w:sz w:val="22"/>
          <w:szCs w:val="22"/>
        </w:rPr>
        <w:t>, have received substantial attention. Systematic reviews summarize evidence comparing</w:t>
      </w:r>
      <w:r w:rsidRPr="00566B92">
        <w:rPr>
          <w:rFonts w:ascii="Times New Roman" w:hAnsi="Times New Roman" w:cs="Times New Roman"/>
          <w:sz w:val="22"/>
          <w:szCs w:val="22"/>
        </w:rPr>
        <w:t xml:space="preserve"> higher</w:t>
      </w:r>
      <w:r>
        <w:rPr>
          <w:rFonts w:ascii="Times New Roman" w:hAnsi="Times New Roman" w:cs="Times New Roman"/>
          <w:sz w:val="22"/>
          <w:szCs w:val="22"/>
        </w:rPr>
        <w:t>-</w:t>
      </w:r>
      <w:r w:rsidRPr="00566B92">
        <w:rPr>
          <w:rFonts w:ascii="Times New Roman" w:hAnsi="Times New Roman" w:cs="Times New Roman"/>
          <w:sz w:val="22"/>
          <w:szCs w:val="22"/>
        </w:rPr>
        <w:t xml:space="preserve">carbon </w:t>
      </w:r>
      <w:r>
        <w:rPr>
          <w:rFonts w:ascii="Times New Roman" w:hAnsi="Times New Roman" w:cs="Times New Roman"/>
          <w:sz w:val="22"/>
          <w:szCs w:val="22"/>
        </w:rPr>
        <w:t>and</w:t>
      </w:r>
      <w:r w:rsidRPr="00566B92">
        <w:rPr>
          <w:rFonts w:ascii="Times New Roman" w:hAnsi="Times New Roman" w:cs="Times New Roman"/>
          <w:sz w:val="22"/>
          <w:szCs w:val="22"/>
        </w:rPr>
        <w:t xml:space="preserve"> low</w:t>
      </w:r>
      <w:r>
        <w:rPr>
          <w:rFonts w:ascii="Times New Roman" w:hAnsi="Times New Roman" w:cs="Times New Roman"/>
          <w:sz w:val="22"/>
          <w:szCs w:val="22"/>
        </w:rPr>
        <w:t>-</w:t>
      </w:r>
      <w:r w:rsidRPr="00566B92">
        <w:rPr>
          <w:rFonts w:ascii="Times New Roman" w:hAnsi="Times New Roman" w:cs="Times New Roman"/>
          <w:sz w:val="22"/>
          <w:szCs w:val="22"/>
        </w:rPr>
        <w:t>carbon</w:t>
      </w:r>
      <w:r>
        <w:rPr>
          <w:rFonts w:ascii="Times New Roman" w:hAnsi="Times New Roman" w:cs="Times New Roman"/>
          <w:sz w:val="22"/>
          <w:szCs w:val="22"/>
        </w:rPr>
        <w:t xml:space="preserve"> activities: the fossil fuel sector creates on average 5 per USD million invested compared to </w:t>
      </w:r>
      <w:r w:rsidRPr="000F74E9">
        <w:rPr>
          <w:rFonts w:ascii="Times New Roman" w:hAnsi="Times New Roman" w:cs="Times New Roman"/>
          <w:sz w:val="22"/>
          <w:szCs w:val="22"/>
        </w:rPr>
        <w:t>15 jobs</w:t>
      </w:r>
      <w:r>
        <w:rPr>
          <w:rFonts w:ascii="Times New Roman" w:hAnsi="Times New Roman" w:cs="Times New Roman"/>
          <w:sz w:val="22"/>
          <w:szCs w:val="22"/>
        </w:rPr>
        <w:t xml:space="preserve"> and 22 jobs per </w:t>
      </w:r>
      <w:r w:rsidRPr="000F74E9">
        <w:rPr>
          <w:rFonts w:ascii="Times New Roman" w:hAnsi="Times New Roman" w:cs="Times New Roman"/>
          <w:sz w:val="22"/>
          <w:szCs w:val="22"/>
        </w:rPr>
        <w:t>USD</w:t>
      </w:r>
      <w:r>
        <w:rPr>
          <w:rFonts w:ascii="Times New Roman" w:hAnsi="Times New Roman" w:cs="Times New Roman"/>
          <w:sz w:val="22"/>
          <w:szCs w:val="22"/>
        </w:rPr>
        <w:t xml:space="preserve"> </w:t>
      </w:r>
      <w:r w:rsidRPr="000F74E9">
        <w:rPr>
          <w:rFonts w:ascii="Times New Roman" w:hAnsi="Times New Roman" w:cs="Times New Roman"/>
          <w:sz w:val="22"/>
          <w:szCs w:val="22"/>
        </w:rPr>
        <w:t xml:space="preserve">million for the renewable energy </w:t>
      </w:r>
      <w:r>
        <w:rPr>
          <w:rFonts w:ascii="Times New Roman" w:hAnsi="Times New Roman" w:cs="Times New Roman"/>
          <w:sz w:val="22"/>
          <w:szCs w:val="22"/>
        </w:rPr>
        <w:t>and energy efficiency t</w:t>
      </w:r>
      <w:r w:rsidRPr="000F74E9">
        <w:rPr>
          <w:rFonts w:ascii="Times New Roman" w:hAnsi="Times New Roman" w:cs="Times New Roman"/>
          <w:sz w:val="22"/>
          <w:szCs w:val="22"/>
        </w:rPr>
        <w:t>echnologies</w:t>
      </w:r>
      <w:r>
        <w:rPr>
          <w:rFonts w:ascii="Times New Roman" w:hAnsi="Times New Roman" w:cs="Times New Roman"/>
          <w:sz w:val="22"/>
          <w:szCs w:val="22"/>
        </w:rPr>
        <w:t xml:space="preserve">, respectively (Hanna et al., 2024; O’Callaghan et at, 2022). Studies </w:t>
      </w:r>
      <w:r w:rsidRPr="001B55EE">
        <w:rPr>
          <w:rFonts w:ascii="Times New Roman" w:hAnsi="Times New Roman" w:cs="Times New Roman"/>
          <w:sz w:val="22"/>
          <w:szCs w:val="22"/>
        </w:rPr>
        <w:t>ha</w:t>
      </w:r>
      <w:r>
        <w:rPr>
          <w:rFonts w:ascii="Times New Roman" w:hAnsi="Times New Roman" w:cs="Times New Roman"/>
          <w:sz w:val="22"/>
          <w:szCs w:val="22"/>
        </w:rPr>
        <w:t>ve</w:t>
      </w:r>
      <w:r w:rsidRPr="001B55EE">
        <w:rPr>
          <w:rFonts w:ascii="Times New Roman" w:hAnsi="Times New Roman" w:cs="Times New Roman"/>
          <w:sz w:val="22"/>
          <w:szCs w:val="22"/>
        </w:rPr>
        <w:t xml:space="preserve"> developed along three main methodological lines</w:t>
      </w:r>
      <w:r>
        <w:rPr>
          <w:rFonts w:ascii="Times New Roman" w:hAnsi="Times New Roman" w:cs="Times New Roman"/>
          <w:sz w:val="22"/>
          <w:szCs w:val="22"/>
        </w:rPr>
        <w:t xml:space="preserve"> – I</w:t>
      </w:r>
      <w:r w:rsidRPr="001B55EE">
        <w:rPr>
          <w:rFonts w:ascii="Times New Roman" w:hAnsi="Times New Roman" w:cs="Times New Roman"/>
          <w:sz w:val="22"/>
          <w:szCs w:val="22"/>
        </w:rPr>
        <w:t>nput-</w:t>
      </w:r>
      <w:r>
        <w:rPr>
          <w:rFonts w:ascii="Times New Roman" w:hAnsi="Times New Roman" w:cs="Times New Roman"/>
          <w:sz w:val="22"/>
          <w:szCs w:val="22"/>
        </w:rPr>
        <w:t>O</w:t>
      </w:r>
      <w:r w:rsidRPr="001B55EE">
        <w:rPr>
          <w:rFonts w:ascii="Times New Roman" w:hAnsi="Times New Roman" w:cs="Times New Roman"/>
          <w:sz w:val="22"/>
          <w:szCs w:val="22"/>
        </w:rPr>
        <w:t>utput</w:t>
      </w:r>
      <w:r>
        <w:rPr>
          <w:rFonts w:ascii="Times New Roman" w:hAnsi="Times New Roman" w:cs="Times New Roman"/>
          <w:sz w:val="22"/>
          <w:szCs w:val="22"/>
        </w:rPr>
        <w:t xml:space="preserve"> (IO), c</w:t>
      </w:r>
      <w:r w:rsidRPr="001B55EE">
        <w:rPr>
          <w:rFonts w:ascii="Times New Roman" w:hAnsi="Times New Roman" w:cs="Times New Roman"/>
          <w:sz w:val="22"/>
          <w:szCs w:val="22"/>
        </w:rPr>
        <w:t>omputable general equilibrium</w:t>
      </w:r>
      <w:r>
        <w:rPr>
          <w:rFonts w:ascii="Times New Roman" w:hAnsi="Times New Roman" w:cs="Times New Roman"/>
          <w:sz w:val="22"/>
          <w:szCs w:val="22"/>
        </w:rPr>
        <w:t xml:space="preserve"> (CGE), and macro-econometric models –</w:t>
      </w:r>
      <w:r w:rsidRPr="001B55EE">
        <w:rPr>
          <w:rFonts w:ascii="Times New Roman" w:hAnsi="Times New Roman" w:cs="Times New Roman"/>
          <w:sz w:val="22"/>
          <w:szCs w:val="22"/>
        </w:rPr>
        <w:t xml:space="preserve"> each with </w:t>
      </w:r>
      <w:proofErr w:type="gramStart"/>
      <w:r w:rsidRPr="001B55EE">
        <w:rPr>
          <w:rFonts w:ascii="Times New Roman" w:hAnsi="Times New Roman" w:cs="Times New Roman"/>
          <w:sz w:val="22"/>
          <w:szCs w:val="22"/>
        </w:rPr>
        <w:t>particular</w:t>
      </w:r>
      <w:r>
        <w:rPr>
          <w:rFonts w:ascii="Times New Roman" w:hAnsi="Times New Roman" w:cs="Times New Roman"/>
          <w:sz w:val="22"/>
          <w:szCs w:val="22"/>
        </w:rPr>
        <w:t xml:space="preserve"> </w:t>
      </w:r>
      <w:r w:rsidRPr="001B55EE">
        <w:rPr>
          <w:rFonts w:ascii="Times New Roman" w:hAnsi="Times New Roman" w:cs="Times New Roman"/>
          <w:sz w:val="22"/>
          <w:szCs w:val="22"/>
        </w:rPr>
        <w:t>strengths</w:t>
      </w:r>
      <w:proofErr w:type="gramEnd"/>
      <w:r w:rsidRPr="001B55EE">
        <w:rPr>
          <w:rFonts w:ascii="Times New Roman" w:hAnsi="Times New Roman" w:cs="Times New Roman"/>
          <w:sz w:val="22"/>
          <w:szCs w:val="22"/>
        </w:rPr>
        <w:t xml:space="preserve"> and limitations. </w:t>
      </w:r>
      <w:r>
        <w:rPr>
          <w:rFonts w:ascii="Times New Roman" w:hAnsi="Times New Roman" w:cs="Times New Roman"/>
          <w:sz w:val="22"/>
          <w:szCs w:val="22"/>
        </w:rPr>
        <w:t>This paper explores a gap shared across these approaches: the treatment of cost structures of climate investments as known inputs when modeling job creation potential, despite the considerable uncertainty surrounding them. Whether by assuming fixed cost breakdowns, deriving cost trajectories from a fixed initial structure, or projecting historical trends forward, each tradition produces e</w:t>
      </w:r>
      <w:r w:rsidRPr="00064452">
        <w:rPr>
          <w:rFonts w:ascii="Times New Roman" w:hAnsi="Times New Roman" w:cs="Times New Roman"/>
          <w:sz w:val="22"/>
          <w:szCs w:val="22"/>
        </w:rPr>
        <w:t xml:space="preserve">mployment multipliers that </w:t>
      </w:r>
      <w:r>
        <w:rPr>
          <w:rFonts w:ascii="Times New Roman" w:hAnsi="Times New Roman" w:cs="Times New Roman"/>
          <w:sz w:val="22"/>
          <w:szCs w:val="22"/>
        </w:rPr>
        <w:t xml:space="preserve">may </w:t>
      </w:r>
      <w:r w:rsidRPr="00064452">
        <w:rPr>
          <w:rFonts w:ascii="Times New Roman" w:hAnsi="Times New Roman" w:cs="Times New Roman"/>
          <w:sz w:val="22"/>
          <w:szCs w:val="22"/>
        </w:rPr>
        <w:t xml:space="preserve">not fully capture </w:t>
      </w:r>
      <w:r>
        <w:rPr>
          <w:rFonts w:ascii="Times New Roman" w:hAnsi="Times New Roman" w:cs="Times New Roman"/>
          <w:sz w:val="22"/>
          <w:szCs w:val="22"/>
        </w:rPr>
        <w:t xml:space="preserve">the variability of </w:t>
      </w:r>
      <w:r w:rsidRPr="00064452">
        <w:rPr>
          <w:rFonts w:ascii="Times New Roman" w:hAnsi="Times New Roman" w:cs="Times New Roman"/>
          <w:sz w:val="22"/>
          <w:szCs w:val="22"/>
        </w:rPr>
        <w:t xml:space="preserve">key structural conditions </w:t>
      </w:r>
      <w:r>
        <w:rPr>
          <w:rFonts w:ascii="Times New Roman" w:hAnsi="Times New Roman" w:cs="Times New Roman"/>
          <w:sz w:val="22"/>
          <w:szCs w:val="22"/>
        </w:rPr>
        <w:t>affecting</w:t>
      </w:r>
      <w:r w:rsidRPr="00064452">
        <w:rPr>
          <w:rFonts w:ascii="Times New Roman" w:hAnsi="Times New Roman" w:cs="Times New Roman"/>
          <w:sz w:val="22"/>
          <w:szCs w:val="22"/>
        </w:rPr>
        <w:t xml:space="preserve"> job creation</w:t>
      </w:r>
      <w:r>
        <w:rPr>
          <w:rFonts w:ascii="Times New Roman" w:hAnsi="Times New Roman" w:cs="Times New Roman"/>
          <w:sz w:val="22"/>
          <w:szCs w:val="22"/>
        </w:rPr>
        <w:t xml:space="preserve"> across contexts. </w:t>
      </w:r>
      <w:r w:rsidRPr="004C1C57">
        <w:rPr>
          <w:rFonts w:ascii="Times New Roman" w:hAnsi="Times New Roman" w:cs="Times New Roman"/>
          <w:color w:val="000000" w:themeColor="text1"/>
          <w:sz w:val="22"/>
          <w:szCs w:val="22"/>
        </w:rPr>
        <w:t>The limitation becomes more consequential when economic sectors are expected to undergo fundamental restructuring in response to climate policies – adopting new practices and technologies rather than making incremental adjustments.</w:t>
      </w:r>
    </w:p>
    <w:p w14:paraId="7FC97473" w14:textId="635F1BCB" w:rsidR="00EC561A" w:rsidRDefault="00EC561A" w:rsidP="008C73F9">
      <w:pPr>
        <w:ind w:firstLine="720"/>
        <w:jc w:val="both"/>
        <w:rPr>
          <w:rFonts w:ascii="Times New Roman" w:hAnsi="Times New Roman" w:cs="Times New Roman"/>
          <w:sz w:val="22"/>
          <w:szCs w:val="22"/>
        </w:rPr>
      </w:pPr>
      <w:r w:rsidRPr="001B55EE">
        <w:rPr>
          <w:rFonts w:ascii="Times New Roman" w:hAnsi="Times New Roman" w:cs="Times New Roman"/>
          <w:sz w:val="22"/>
          <w:szCs w:val="22"/>
        </w:rPr>
        <w:t xml:space="preserve">Input-output (IO) frameworks, </w:t>
      </w:r>
      <w:r>
        <w:rPr>
          <w:rFonts w:ascii="Times New Roman" w:hAnsi="Times New Roman" w:cs="Times New Roman"/>
          <w:sz w:val="22"/>
          <w:szCs w:val="22"/>
        </w:rPr>
        <w:t>including</w:t>
      </w:r>
      <w:r w:rsidRPr="001B55EE">
        <w:rPr>
          <w:rFonts w:ascii="Times New Roman" w:hAnsi="Times New Roman" w:cs="Times New Roman"/>
          <w:sz w:val="22"/>
          <w:szCs w:val="22"/>
        </w:rPr>
        <w:t xml:space="preserve"> national and multi-region Input-Output (MRIO) models</w:t>
      </w:r>
      <w:r>
        <w:rPr>
          <w:rStyle w:val="FootnoteReference"/>
          <w:rFonts w:ascii="Times New Roman" w:hAnsi="Times New Roman" w:cs="Times New Roman"/>
          <w:sz w:val="22"/>
          <w:szCs w:val="22"/>
        </w:rPr>
        <w:footnoteReference w:id="1"/>
      </w:r>
      <w:r w:rsidRPr="001B55EE">
        <w:rPr>
          <w:rFonts w:ascii="Times New Roman" w:hAnsi="Times New Roman" w:cs="Times New Roman"/>
          <w:sz w:val="22"/>
          <w:szCs w:val="22"/>
        </w:rPr>
        <w:t xml:space="preserve">, have been increasingly used </w:t>
      </w:r>
      <w:r>
        <w:rPr>
          <w:rFonts w:ascii="Times New Roman" w:hAnsi="Times New Roman" w:cs="Times New Roman"/>
          <w:sz w:val="22"/>
          <w:szCs w:val="22"/>
        </w:rPr>
        <w:t>to estimate job creation potential in the low-carbon transition</w:t>
      </w:r>
      <w:r w:rsidRPr="001B55EE">
        <w:rPr>
          <w:rFonts w:ascii="Times New Roman" w:hAnsi="Times New Roman" w:cs="Times New Roman"/>
          <w:sz w:val="22"/>
          <w:szCs w:val="22"/>
        </w:rPr>
        <w:t xml:space="preserve"> (Bücker et al.</w:t>
      </w:r>
      <w:r>
        <w:rPr>
          <w:rFonts w:ascii="Times New Roman" w:hAnsi="Times New Roman" w:cs="Times New Roman"/>
          <w:sz w:val="22"/>
          <w:szCs w:val="22"/>
        </w:rPr>
        <w:t xml:space="preserve">, </w:t>
      </w:r>
      <w:r w:rsidRPr="001B55EE">
        <w:rPr>
          <w:rFonts w:ascii="Times New Roman" w:hAnsi="Times New Roman" w:cs="Times New Roman"/>
          <w:sz w:val="22"/>
          <w:szCs w:val="22"/>
        </w:rPr>
        <w:t>2025;</w:t>
      </w:r>
      <w:r>
        <w:rPr>
          <w:rFonts w:ascii="Times New Roman" w:hAnsi="Times New Roman" w:cs="Times New Roman"/>
          <w:sz w:val="22"/>
          <w:szCs w:val="22"/>
        </w:rPr>
        <w:t xml:space="preserve"> San Miguel et al., 2024;</w:t>
      </w:r>
      <w:r w:rsidRPr="001B55EE">
        <w:rPr>
          <w:rFonts w:ascii="Times New Roman" w:hAnsi="Times New Roman" w:cs="Times New Roman"/>
          <w:sz w:val="22"/>
          <w:szCs w:val="22"/>
        </w:rPr>
        <w:t xml:space="preserve"> </w:t>
      </w:r>
      <w:r w:rsidRPr="00606019">
        <w:rPr>
          <w:rFonts w:ascii="Times New Roman" w:hAnsi="Times New Roman" w:cs="Times New Roman"/>
          <w:sz w:val="22"/>
          <w:szCs w:val="22"/>
        </w:rPr>
        <w:t xml:space="preserve">Černý </w:t>
      </w:r>
      <w:r>
        <w:rPr>
          <w:rFonts w:ascii="Times New Roman" w:hAnsi="Times New Roman" w:cs="Times New Roman"/>
          <w:sz w:val="22"/>
          <w:szCs w:val="22"/>
        </w:rPr>
        <w:t>et al., 2021; Montt et al., 2018</w:t>
      </w:r>
      <w:r w:rsidRPr="001B55EE">
        <w:rPr>
          <w:rFonts w:ascii="Times New Roman" w:hAnsi="Times New Roman" w:cs="Times New Roman"/>
          <w:sz w:val="22"/>
          <w:szCs w:val="22"/>
        </w:rPr>
        <w:t>)</w:t>
      </w:r>
      <w:r>
        <w:rPr>
          <w:rFonts w:ascii="Times New Roman" w:hAnsi="Times New Roman" w:cs="Times New Roman"/>
          <w:sz w:val="22"/>
          <w:szCs w:val="22"/>
        </w:rPr>
        <w:t>.</w:t>
      </w:r>
      <w:r w:rsidRPr="001B55EE">
        <w:rPr>
          <w:rFonts w:ascii="Times New Roman" w:hAnsi="Times New Roman" w:cs="Times New Roman"/>
          <w:sz w:val="22"/>
          <w:szCs w:val="22"/>
        </w:rPr>
        <w:t xml:space="preserve"> </w:t>
      </w:r>
      <w:r>
        <w:rPr>
          <w:rFonts w:ascii="Times New Roman" w:hAnsi="Times New Roman" w:cs="Times New Roman"/>
          <w:sz w:val="22"/>
          <w:szCs w:val="22"/>
        </w:rPr>
        <w:t>The framework</w:t>
      </w:r>
      <w:r w:rsidRPr="001B55EE">
        <w:rPr>
          <w:rFonts w:ascii="Times New Roman" w:hAnsi="Times New Roman" w:cs="Times New Roman"/>
          <w:sz w:val="22"/>
          <w:szCs w:val="22"/>
        </w:rPr>
        <w:t xml:space="preserve"> </w:t>
      </w:r>
      <w:r>
        <w:rPr>
          <w:rFonts w:ascii="Times New Roman" w:hAnsi="Times New Roman" w:cs="Times New Roman"/>
          <w:sz w:val="22"/>
          <w:szCs w:val="22"/>
        </w:rPr>
        <w:t>traces</w:t>
      </w:r>
      <w:r w:rsidRPr="001B55EE">
        <w:rPr>
          <w:rFonts w:ascii="Times New Roman" w:hAnsi="Times New Roman" w:cs="Times New Roman"/>
          <w:sz w:val="22"/>
          <w:szCs w:val="22"/>
        </w:rPr>
        <w:t xml:space="preserve"> how a dollar of exogenous final demand (e.g., new investment) propagates through inter-industry supply chains</w:t>
      </w:r>
      <w:r>
        <w:rPr>
          <w:rFonts w:ascii="Times New Roman" w:hAnsi="Times New Roman" w:cs="Times New Roman"/>
          <w:sz w:val="22"/>
          <w:szCs w:val="22"/>
        </w:rPr>
        <w:t xml:space="preserve"> – translated into sectoral gross output and intermediate input requirements –</w:t>
      </w:r>
      <w:r w:rsidR="000E7EC7">
        <w:rPr>
          <w:rFonts w:ascii="Times New Roman" w:hAnsi="Times New Roman" w:cs="Times New Roman"/>
          <w:sz w:val="22"/>
          <w:szCs w:val="22"/>
        </w:rPr>
        <w:t xml:space="preserve"> </w:t>
      </w:r>
      <w:r w:rsidRPr="001B55EE">
        <w:rPr>
          <w:rFonts w:ascii="Times New Roman" w:hAnsi="Times New Roman" w:cs="Times New Roman"/>
          <w:sz w:val="22"/>
          <w:szCs w:val="22"/>
        </w:rPr>
        <w:t>capturing direct and indirect job creation at fine sectoral</w:t>
      </w:r>
      <w:r>
        <w:rPr>
          <w:rFonts w:ascii="Times New Roman" w:hAnsi="Times New Roman" w:cs="Times New Roman"/>
          <w:sz w:val="22"/>
          <w:szCs w:val="22"/>
        </w:rPr>
        <w:t xml:space="preserve"> and regional</w:t>
      </w:r>
      <w:r w:rsidRPr="001B55EE">
        <w:rPr>
          <w:rFonts w:ascii="Times New Roman" w:hAnsi="Times New Roman" w:cs="Times New Roman"/>
          <w:sz w:val="22"/>
          <w:szCs w:val="22"/>
        </w:rPr>
        <w:t xml:space="preserve"> resolution.</w:t>
      </w:r>
      <w:r>
        <w:rPr>
          <w:rFonts w:ascii="Times New Roman" w:hAnsi="Times New Roman" w:cs="Times New Roman"/>
          <w:sz w:val="22"/>
          <w:szCs w:val="22"/>
        </w:rPr>
        <w:t xml:space="preserve"> Nonetheless, several studies in this tradition assume, at least partially, fixed cost breakdowns of green technologies or mitigation policies when constructing demand vectors (</w:t>
      </w:r>
      <w:r w:rsidRPr="001B55EE">
        <w:rPr>
          <w:rFonts w:ascii="Times New Roman" w:hAnsi="Times New Roman" w:cs="Times New Roman"/>
          <w:sz w:val="22"/>
          <w:szCs w:val="22"/>
        </w:rPr>
        <w:t>Bücker et al.</w:t>
      </w:r>
      <w:r>
        <w:rPr>
          <w:rFonts w:ascii="Times New Roman" w:hAnsi="Times New Roman" w:cs="Times New Roman"/>
          <w:sz w:val="22"/>
          <w:szCs w:val="22"/>
        </w:rPr>
        <w:t xml:space="preserve">, </w:t>
      </w:r>
      <w:r w:rsidRPr="001B55EE">
        <w:rPr>
          <w:rFonts w:ascii="Times New Roman" w:hAnsi="Times New Roman" w:cs="Times New Roman"/>
          <w:sz w:val="22"/>
          <w:szCs w:val="22"/>
        </w:rPr>
        <w:t>2025</w:t>
      </w:r>
      <w:r>
        <w:rPr>
          <w:rFonts w:ascii="Times New Roman" w:hAnsi="Times New Roman" w:cs="Times New Roman"/>
          <w:sz w:val="22"/>
          <w:szCs w:val="22"/>
        </w:rPr>
        <w:t xml:space="preserve">; Salman et al., 2025; </w:t>
      </w:r>
      <w:r w:rsidRPr="007E3EBA">
        <w:rPr>
          <w:rFonts w:ascii="Times New Roman" w:hAnsi="Times New Roman" w:cs="Times New Roman"/>
          <w:sz w:val="22"/>
          <w:szCs w:val="22"/>
        </w:rPr>
        <w:t>Bakry</w:t>
      </w:r>
      <w:r>
        <w:rPr>
          <w:rFonts w:ascii="Times New Roman" w:hAnsi="Times New Roman" w:cs="Times New Roman"/>
          <w:sz w:val="22"/>
          <w:szCs w:val="22"/>
        </w:rPr>
        <w:t xml:space="preserve"> et al., 2023; Ram et al., 2020;</w:t>
      </w:r>
      <w:r w:rsidRPr="004C00BA">
        <w:t xml:space="preserve"> </w:t>
      </w:r>
      <w:r w:rsidRPr="004C00BA">
        <w:rPr>
          <w:rFonts w:ascii="Times New Roman" w:hAnsi="Times New Roman" w:cs="Times New Roman"/>
          <w:sz w:val="22"/>
          <w:szCs w:val="22"/>
        </w:rPr>
        <w:t>Garret</w:t>
      </w:r>
      <w:r w:rsidR="000E7EC7">
        <w:rPr>
          <w:rFonts w:ascii="Times New Roman" w:hAnsi="Times New Roman" w:cs="Times New Roman"/>
          <w:sz w:val="22"/>
          <w:szCs w:val="22"/>
        </w:rPr>
        <w:t>t</w:t>
      </w:r>
      <w:r w:rsidRPr="004C00BA">
        <w:rPr>
          <w:rFonts w:ascii="Times New Roman" w:hAnsi="Times New Roman" w:cs="Times New Roman"/>
          <w:sz w:val="22"/>
          <w:szCs w:val="22"/>
        </w:rPr>
        <w:t>-Peltier, 2017</w:t>
      </w:r>
      <w:r>
        <w:rPr>
          <w:rFonts w:ascii="Times New Roman" w:hAnsi="Times New Roman" w:cs="Times New Roman"/>
          <w:sz w:val="22"/>
          <w:szCs w:val="22"/>
        </w:rPr>
        <w:t>)</w:t>
      </w:r>
      <w:r>
        <w:rPr>
          <w:rStyle w:val="FootnoteReference"/>
          <w:rFonts w:ascii="Times New Roman" w:hAnsi="Times New Roman" w:cs="Times New Roman"/>
          <w:sz w:val="22"/>
          <w:szCs w:val="22"/>
        </w:rPr>
        <w:footnoteReference w:id="2"/>
      </w:r>
      <w:r>
        <w:rPr>
          <w:rFonts w:ascii="Times New Roman" w:hAnsi="Times New Roman" w:cs="Times New Roman"/>
          <w:sz w:val="22"/>
          <w:szCs w:val="22"/>
        </w:rPr>
        <w:t>. This is a fragile assumption, as cost structures are subject to considerable un</w:t>
      </w:r>
      <w:r w:rsidRPr="00F26A56">
        <w:rPr>
          <w:rFonts w:ascii="Times New Roman" w:hAnsi="Times New Roman" w:cs="Times New Roman"/>
          <w:color w:val="000000" w:themeColor="text1"/>
          <w:sz w:val="22"/>
          <w:szCs w:val="22"/>
        </w:rPr>
        <w:t xml:space="preserve">certainty and </w:t>
      </w:r>
      <w:r w:rsidRPr="00F26A56">
        <w:rPr>
          <w:rFonts w:ascii="Times New Roman" w:hAnsi="Times New Roman" w:cs="Times New Roman"/>
          <w:color w:val="000000" w:themeColor="text1"/>
          <w:sz w:val="22"/>
          <w:szCs w:val="22"/>
        </w:rPr>
        <w:lastRenderedPageBreak/>
        <w:t xml:space="preserve">may differ over time as technologies mature and across contexts. Employment multipliers can be a misleading measure of economic benefit when they do not account for variation in key factors such as the import shares of major components, the labor intensity of production, and prevailing wage levels (Agan and </w:t>
      </w:r>
      <w:proofErr w:type="spellStart"/>
      <w:r w:rsidRPr="00F26A56">
        <w:rPr>
          <w:rFonts w:ascii="Times New Roman" w:hAnsi="Times New Roman" w:cs="Times New Roman"/>
          <w:color w:val="000000" w:themeColor="text1"/>
          <w:sz w:val="22"/>
          <w:szCs w:val="22"/>
        </w:rPr>
        <w:t>Balcilar</w:t>
      </w:r>
      <w:proofErr w:type="spellEnd"/>
      <w:r w:rsidRPr="00F26A56">
        <w:rPr>
          <w:rFonts w:ascii="Times New Roman" w:hAnsi="Times New Roman" w:cs="Times New Roman"/>
          <w:color w:val="000000" w:themeColor="text1"/>
          <w:sz w:val="22"/>
          <w:szCs w:val="22"/>
        </w:rPr>
        <w:t>, 2022; Perrier and Quirion, 2018)</w:t>
      </w:r>
      <w:r w:rsidRPr="00F26A56">
        <w:rPr>
          <w:rStyle w:val="FootnoteReference"/>
          <w:rFonts w:ascii="Times New Roman" w:hAnsi="Times New Roman" w:cs="Times New Roman"/>
          <w:color w:val="000000" w:themeColor="text1"/>
          <w:sz w:val="22"/>
          <w:szCs w:val="22"/>
        </w:rPr>
        <w:footnoteReference w:id="3"/>
      </w:r>
      <w:r w:rsidRPr="00F26A56">
        <w:rPr>
          <w:rFonts w:ascii="Times New Roman" w:hAnsi="Times New Roman" w:cs="Times New Roman"/>
          <w:color w:val="000000" w:themeColor="text1"/>
          <w:sz w:val="22"/>
          <w:szCs w:val="22"/>
        </w:rPr>
        <w:t>. This is also an issue in dynamic settings, where capital and operational expenditure trajectories remain dependent on the initial cost structure chosen.</w:t>
      </w:r>
      <w:r>
        <w:rPr>
          <w:rFonts w:ascii="Times New Roman" w:hAnsi="Times New Roman" w:cs="Times New Roman"/>
          <w:sz w:val="22"/>
          <w:szCs w:val="22"/>
        </w:rPr>
        <w:t xml:space="preserve"> </w:t>
      </w:r>
    </w:p>
    <w:p w14:paraId="6E85508B" w14:textId="2F69D359" w:rsidR="00EC561A" w:rsidRPr="003874D2" w:rsidRDefault="00EC561A" w:rsidP="008C73F9">
      <w:pPr>
        <w:ind w:firstLine="720"/>
        <w:jc w:val="both"/>
        <w:rPr>
          <w:rFonts w:ascii="Times New Roman" w:hAnsi="Times New Roman" w:cs="Times New Roman"/>
          <w:color w:val="FF0000"/>
          <w:sz w:val="22"/>
          <w:szCs w:val="22"/>
        </w:rPr>
      </w:pPr>
      <w:r w:rsidRPr="001B55EE">
        <w:rPr>
          <w:rFonts w:ascii="Times New Roman" w:hAnsi="Times New Roman" w:cs="Times New Roman"/>
          <w:sz w:val="22"/>
          <w:szCs w:val="22"/>
        </w:rPr>
        <w:t>Computable general equilibrium</w:t>
      </w:r>
      <w:r>
        <w:rPr>
          <w:rFonts w:ascii="Times New Roman" w:hAnsi="Times New Roman" w:cs="Times New Roman"/>
          <w:sz w:val="22"/>
          <w:szCs w:val="22"/>
        </w:rPr>
        <w:t xml:space="preserve"> (CGE)</w:t>
      </w:r>
      <w:r w:rsidRPr="001B55EE">
        <w:rPr>
          <w:rFonts w:ascii="Times New Roman" w:hAnsi="Times New Roman" w:cs="Times New Roman"/>
          <w:sz w:val="22"/>
          <w:szCs w:val="22"/>
        </w:rPr>
        <w:t xml:space="preserve"> models go further by allowing prices, wages, and factor substitution to adjust</w:t>
      </w:r>
      <w:r>
        <w:rPr>
          <w:rFonts w:ascii="Times New Roman" w:hAnsi="Times New Roman" w:cs="Times New Roman"/>
          <w:sz w:val="22"/>
          <w:szCs w:val="22"/>
        </w:rPr>
        <w:t xml:space="preserve">, imposing optimization and market clearing; some extensions </w:t>
      </w:r>
      <w:r w:rsidRPr="001B55EE">
        <w:rPr>
          <w:rFonts w:ascii="Times New Roman" w:hAnsi="Times New Roman" w:cs="Times New Roman"/>
          <w:sz w:val="22"/>
          <w:szCs w:val="22"/>
        </w:rPr>
        <w:t>produc</w:t>
      </w:r>
      <w:r>
        <w:rPr>
          <w:rFonts w:ascii="Times New Roman" w:hAnsi="Times New Roman" w:cs="Times New Roman"/>
          <w:sz w:val="22"/>
          <w:szCs w:val="22"/>
        </w:rPr>
        <w:t>e</w:t>
      </w:r>
      <w:r w:rsidRPr="001B55EE">
        <w:rPr>
          <w:rFonts w:ascii="Times New Roman" w:hAnsi="Times New Roman" w:cs="Times New Roman"/>
          <w:sz w:val="22"/>
          <w:szCs w:val="22"/>
        </w:rPr>
        <w:t xml:space="preserve"> net employment estimates that account for displacement</w:t>
      </w:r>
      <w:r>
        <w:rPr>
          <w:rFonts w:ascii="Times New Roman" w:hAnsi="Times New Roman" w:cs="Times New Roman"/>
          <w:sz w:val="22"/>
          <w:szCs w:val="22"/>
        </w:rPr>
        <w:t xml:space="preserve"> and imperfect labor mobility (Mealy et al., 2025; Castellanos and </w:t>
      </w:r>
      <w:proofErr w:type="spellStart"/>
      <w:r w:rsidR="002A146B">
        <w:rPr>
          <w:rFonts w:ascii="Times New Roman" w:hAnsi="Times New Roman" w:cs="Times New Roman"/>
          <w:sz w:val="22"/>
          <w:szCs w:val="22"/>
        </w:rPr>
        <w:t>H</w:t>
      </w:r>
      <w:r>
        <w:rPr>
          <w:rFonts w:ascii="Times New Roman" w:hAnsi="Times New Roman" w:cs="Times New Roman"/>
          <w:sz w:val="22"/>
          <w:szCs w:val="22"/>
        </w:rPr>
        <w:t>eutel</w:t>
      </w:r>
      <w:proofErr w:type="spellEnd"/>
      <w:r>
        <w:rPr>
          <w:rFonts w:ascii="Times New Roman" w:hAnsi="Times New Roman" w:cs="Times New Roman"/>
          <w:sz w:val="22"/>
          <w:szCs w:val="22"/>
        </w:rPr>
        <w:t xml:space="preserve">, 2024; </w:t>
      </w:r>
      <w:r w:rsidRPr="00606A71">
        <w:rPr>
          <w:rFonts w:ascii="Times New Roman" w:hAnsi="Times New Roman" w:cs="Times New Roman"/>
          <w:sz w:val="22"/>
          <w:szCs w:val="22"/>
        </w:rPr>
        <w:t>Fragkos &amp; Fragkiadakis, 2022</w:t>
      </w:r>
      <w:r>
        <w:rPr>
          <w:rFonts w:ascii="Times New Roman" w:hAnsi="Times New Roman" w:cs="Times New Roman"/>
          <w:sz w:val="22"/>
          <w:szCs w:val="22"/>
        </w:rPr>
        <w:t xml:space="preserve">; Chateau et al., 2018; </w:t>
      </w:r>
      <w:proofErr w:type="spellStart"/>
      <w:r w:rsidRPr="00E1157D">
        <w:rPr>
          <w:rFonts w:ascii="Times New Roman" w:hAnsi="Times New Roman" w:cs="Times New Roman"/>
          <w:sz w:val="22"/>
          <w:szCs w:val="22"/>
        </w:rPr>
        <w:t>Bulavskaya</w:t>
      </w:r>
      <w:proofErr w:type="spellEnd"/>
      <w:r>
        <w:rPr>
          <w:rFonts w:ascii="Times New Roman" w:hAnsi="Times New Roman" w:cs="Times New Roman"/>
          <w:sz w:val="22"/>
          <w:szCs w:val="22"/>
        </w:rPr>
        <w:t xml:space="preserve"> and </w:t>
      </w:r>
      <w:proofErr w:type="spellStart"/>
      <w:r>
        <w:rPr>
          <w:rFonts w:ascii="Times New Roman" w:hAnsi="Times New Roman" w:cs="Times New Roman"/>
          <w:sz w:val="22"/>
          <w:szCs w:val="22"/>
        </w:rPr>
        <w:t>Reynès</w:t>
      </w:r>
      <w:proofErr w:type="spellEnd"/>
      <w:r>
        <w:rPr>
          <w:rFonts w:ascii="Times New Roman" w:hAnsi="Times New Roman" w:cs="Times New Roman"/>
          <w:sz w:val="22"/>
          <w:szCs w:val="22"/>
        </w:rPr>
        <w:t xml:space="preserve">, 2018; Lofgren and </w:t>
      </w:r>
      <w:proofErr w:type="spellStart"/>
      <w:r>
        <w:rPr>
          <w:rFonts w:ascii="Times New Roman" w:hAnsi="Times New Roman" w:cs="Times New Roman"/>
          <w:sz w:val="22"/>
          <w:szCs w:val="22"/>
        </w:rPr>
        <w:t>Cicowiez</w:t>
      </w:r>
      <w:proofErr w:type="spellEnd"/>
      <w:r>
        <w:rPr>
          <w:rFonts w:ascii="Times New Roman" w:hAnsi="Times New Roman" w:cs="Times New Roman"/>
          <w:sz w:val="22"/>
          <w:szCs w:val="22"/>
        </w:rPr>
        <w:t xml:space="preserve">, 2017). </w:t>
      </w:r>
      <w:r w:rsidR="00565CAE" w:rsidRPr="00565CAE">
        <w:rPr>
          <w:rFonts w:ascii="Times New Roman" w:hAnsi="Times New Roman" w:cs="Times New Roman"/>
          <w:sz w:val="22"/>
          <w:szCs w:val="22"/>
        </w:rPr>
        <w:t>Despite these methodological developments, investments in green technology and mitigation actions are still modeled using cost structures treated as fixed parameters rather than as sources of uncertainty</w:t>
      </w:r>
      <w:r w:rsidRPr="00436028">
        <w:rPr>
          <w:rFonts w:ascii="Times New Roman" w:hAnsi="Times New Roman" w:cs="Times New Roman"/>
          <w:color w:val="000000" w:themeColor="text1"/>
          <w:sz w:val="22"/>
          <w:szCs w:val="22"/>
        </w:rPr>
        <w:t xml:space="preserve">. CGE employment results are sensitive to production function calibration and closure assumptions (Castellanos and </w:t>
      </w:r>
      <w:proofErr w:type="spellStart"/>
      <w:r w:rsidRPr="00436028">
        <w:rPr>
          <w:rFonts w:ascii="Times New Roman" w:hAnsi="Times New Roman" w:cs="Times New Roman"/>
          <w:color w:val="000000" w:themeColor="text1"/>
          <w:sz w:val="22"/>
          <w:szCs w:val="22"/>
        </w:rPr>
        <w:t>Heutel</w:t>
      </w:r>
      <w:proofErr w:type="spellEnd"/>
      <w:r w:rsidRPr="00436028">
        <w:rPr>
          <w:rFonts w:ascii="Times New Roman" w:hAnsi="Times New Roman" w:cs="Times New Roman"/>
          <w:color w:val="000000" w:themeColor="text1"/>
          <w:sz w:val="22"/>
          <w:szCs w:val="22"/>
        </w:rPr>
        <w:t xml:space="preserve">, 2024; </w:t>
      </w:r>
      <w:proofErr w:type="spellStart"/>
      <w:r w:rsidRPr="00436028">
        <w:rPr>
          <w:rFonts w:ascii="Times New Roman" w:hAnsi="Times New Roman" w:cs="Times New Roman"/>
          <w:color w:val="000000" w:themeColor="text1"/>
          <w:sz w:val="22"/>
          <w:szCs w:val="22"/>
        </w:rPr>
        <w:t>Hafstead</w:t>
      </w:r>
      <w:proofErr w:type="spellEnd"/>
      <w:r w:rsidRPr="00436028">
        <w:rPr>
          <w:rFonts w:ascii="Times New Roman" w:hAnsi="Times New Roman" w:cs="Times New Roman"/>
          <w:color w:val="000000" w:themeColor="text1"/>
          <w:sz w:val="22"/>
          <w:szCs w:val="22"/>
        </w:rPr>
        <w:t xml:space="preserve"> et al., 2022). Inaccurate capital-labor shares can systematically distort production function calibration and factor substitution patterns, thereby biasing simulated labor-demand responses (Bolarinwa, 2024). Similarly, when the input cost structures of green technologies and climate investments do not reflect country-specific import dependence </w:t>
      </w:r>
      <w:r>
        <w:rPr>
          <w:rFonts w:ascii="Times New Roman" w:hAnsi="Times New Roman" w:cs="Times New Roman"/>
          <w:color w:val="000000" w:themeColor="text1"/>
          <w:sz w:val="22"/>
          <w:szCs w:val="22"/>
        </w:rPr>
        <w:t>and</w:t>
      </w:r>
      <w:r w:rsidRPr="00436028">
        <w:rPr>
          <w:rFonts w:ascii="Times New Roman" w:hAnsi="Times New Roman" w:cs="Times New Roman"/>
          <w:color w:val="000000" w:themeColor="text1"/>
          <w:sz w:val="22"/>
          <w:szCs w:val="22"/>
        </w:rPr>
        <w:t xml:space="preserve"> domestic </w:t>
      </w:r>
      <w:r>
        <w:rPr>
          <w:rFonts w:ascii="Times New Roman" w:hAnsi="Times New Roman" w:cs="Times New Roman"/>
          <w:color w:val="000000" w:themeColor="text1"/>
          <w:sz w:val="22"/>
          <w:szCs w:val="22"/>
        </w:rPr>
        <w:t>supply</w:t>
      </w:r>
      <w:r w:rsidRPr="00436028">
        <w:rPr>
          <w:rFonts w:ascii="Times New Roman" w:hAnsi="Times New Roman" w:cs="Times New Roman"/>
          <w:color w:val="000000" w:themeColor="text1"/>
          <w:sz w:val="22"/>
          <w:szCs w:val="22"/>
        </w:rPr>
        <w:t xml:space="preserve"> capacity, models may </w:t>
      </w:r>
      <w:r>
        <w:rPr>
          <w:rFonts w:ascii="Times New Roman" w:hAnsi="Times New Roman" w:cs="Times New Roman"/>
          <w:color w:val="000000" w:themeColor="text1"/>
          <w:sz w:val="22"/>
          <w:szCs w:val="22"/>
        </w:rPr>
        <w:t>mis</w:t>
      </w:r>
      <w:r w:rsidRPr="00436028">
        <w:rPr>
          <w:rFonts w:ascii="Times New Roman" w:hAnsi="Times New Roman" w:cs="Times New Roman"/>
          <w:color w:val="000000" w:themeColor="text1"/>
          <w:sz w:val="22"/>
          <w:szCs w:val="22"/>
        </w:rPr>
        <w:t xml:space="preserve">allocate demand </w:t>
      </w:r>
      <w:r>
        <w:rPr>
          <w:rFonts w:ascii="Times New Roman" w:hAnsi="Times New Roman" w:cs="Times New Roman"/>
          <w:color w:val="000000" w:themeColor="text1"/>
          <w:sz w:val="22"/>
          <w:szCs w:val="22"/>
        </w:rPr>
        <w:t>across</w:t>
      </w:r>
      <w:r w:rsidRPr="00436028">
        <w:rPr>
          <w:rFonts w:ascii="Times New Roman" w:hAnsi="Times New Roman" w:cs="Times New Roman"/>
          <w:color w:val="000000" w:themeColor="text1"/>
          <w:sz w:val="22"/>
          <w:szCs w:val="22"/>
        </w:rPr>
        <w:t xml:space="preserve"> </w:t>
      </w:r>
      <w:r>
        <w:rPr>
          <w:rFonts w:ascii="Times New Roman" w:hAnsi="Times New Roman" w:cs="Times New Roman"/>
          <w:color w:val="000000" w:themeColor="text1"/>
          <w:sz w:val="22"/>
          <w:szCs w:val="22"/>
        </w:rPr>
        <w:t>domestic</w:t>
      </w:r>
      <w:r w:rsidRPr="00436028">
        <w:rPr>
          <w:rFonts w:ascii="Times New Roman" w:hAnsi="Times New Roman" w:cs="Times New Roman"/>
          <w:color w:val="000000" w:themeColor="text1"/>
          <w:sz w:val="22"/>
          <w:szCs w:val="22"/>
        </w:rPr>
        <w:t xml:space="preserve"> industries and</w:t>
      </w:r>
      <w:r>
        <w:rPr>
          <w:rFonts w:ascii="Times New Roman" w:hAnsi="Times New Roman" w:cs="Times New Roman"/>
          <w:color w:val="000000" w:themeColor="text1"/>
          <w:sz w:val="22"/>
          <w:szCs w:val="22"/>
        </w:rPr>
        <w:t xml:space="preserve"> thereby</w:t>
      </w:r>
      <w:r w:rsidRPr="00436028">
        <w:rPr>
          <w:rFonts w:ascii="Times New Roman" w:hAnsi="Times New Roman" w:cs="Times New Roman"/>
          <w:color w:val="000000" w:themeColor="text1"/>
          <w:sz w:val="22"/>
          <w:szCs w:val="22"/>
        </w:rPr>
        <w:t xml:space="preserve"> overstate or understate employment gains. For instance, </w:t>
      </w:r>
      <w:r>
        <w:rPr>
          <w:rFonts w:ascii="Times New Roman" w:hAnsi="Times New Roman" w:cs="Times New Roman"/>
          <w:color w:val="000000" w:themeColor="text1"/>
          <w:sz w:val="22"/>
          <w:szCs w:val="22"/>
        </w:rPr>
        <w:t xml:space="preserve">in the case of </w:t>
      </w:r>
      <w:r>
        <w:rPr>
          <w:rFonts w:ascii="Times New Roman" w:hAnsi="Times New Roman" w:cs="Times New Roman"/>
          <w:sz w:val="22"/>
          <w:szCs w:val="22"/>
        </w:rPr>
        <w:t>s</w:t>
      </w:r>
      <w:r w:rsidRPr="004C0100">
        <w:rPr>
          <w:rFonts w:ascii="Times New Roman" w:hAnsi="Times New Roman" w:cs="Times New Roman"/>
          <w:sz w:val="22"/>
          <w:szCs w:val="22"/>
        </w:rPr>
        <w:t xml:space="preserve">olar </w:t>
      </w:r>
      <w:r>
        <w:rPr>
          <w:rFonts w:ascii="Times New Roman" w:hAnsi="Times New Roman" w:cs="Times New Roman"/>
          <w:sz w:val="22"/>
          <w:szCs w:val="22"/>
        </w:rPr>
        <w:t>p</w:t>
      </w:r>
      <w:r w:rsidRPr="004C0100">
        <w:rPr>
          <w:rFonts w:ascii="Times New Roman" w:hAnsi="Times New Roman" w:cs="Times New Roman"/>
          <w:sz w:val="22"/>
          <w:szCs w:val="22"/>
        </w:rPr>
        <w:t>hotovoltaic (PV)</w:t>
      </w:r>
      <w:r>
        <w:rPr>
          <w:rFonts w:ascii="Times New Roman" w:hAnsi="Times New Roman" w:cs="Times New Roman"/>
          <w:sz w:val="22"/>
          <w:szCs w:val="22"/>
        </w:rPr>
        <w:t xml:space="preserve"> deployment, domestic employment effects depend in part on the extent to which panels and electrical equipment are imported rather than produced domestically, which can shift </w:t>
      </w:r>
      <w:r w:rsidRPr="00343E9E">
        <w:rPr>
          <w:rFonts w:ascii="Times New Roman" w:hAnsi="Times New Roman" w:cs="Times New Roman"/>
          <w:sz w:val="22"/>
          <w:szCs w:val="22"/>
        </w:rPr>
        <w:t xml:space="preserve">labor demand away from manufacturing </w:t>
      </w:r>
      <w:r>
        <w:rPr>
          <w:rFonts w:ascii="Times New Roman" w:hAnsi="Times New Roman" w:cs="Times New Roman"/>
          <w:sz w:val="22"/>
          <w:szCs w:val="22"/>
        </w:rPr>
        <w:t xml:space="preserve">and </w:t>
      </w:r>
      <w:r w:rsidRPr="00343E9E">
        <w:rPr>
          <w:rFonts w:ascii="Times New Roman" w:hAnsi="Times New Roman" w:cs="Times New Roman"/>
          <w:sz w:val="22"/>
          <w:szCs w:val="22"/>
        </w:rPr>
        <w:t xml:space="preserve">toward installation, project development, maintenance, and other </w:t>
      </w:r>
      <w:r>
        <w:rPr>
          <w:rFonts w:ascii="Times New Roman" w:hAnsi="Times New Roman" w:cs="Times New Roman"/>
          <w:sz w:val="22"/>
          <w:szCs w:val="22"/>
        </w:rPr>
        <w:t>local</w:t>
      </w:r>
      <w:r w:rsidRPr="00343E9E">
        <w:rPr>
          <w:rFonts w:ascii="Times New Roman" w:hAnsi="Times New Roman" w:cs="Times New Roman"/>
          <w:sz w:val="22"/>
          <w:szCs w:val="22"/>
        </w:rPr>
        <w:t xml:space="preserve"> service activities.</w:t>
      </w:r>
    </w:p>
    <w:p w14:paraId="0B6FCC93" w14:textId="2C50CED0" w:rsidR="00EC561A" w:rsidRPr="00232527" w:rsidRDefault="007D6D9A" w:rsidP="008C73F9">
      <w:pPr>
        <w:ind w:firstLine="720"/>
        <w:jc w:val="both"/>
        <w:rPr>
          <w:rFonts w:ascii="Times New Roman" w:hAnsi="Times New Roman" w:cs="Times New Roman"/>
          <w:color w:val="FF0000"/>
          <w:sz w:val="22"/>
          <w:szCs w:val="22"/>
        </w:rPr>
      </w:pPr>
      <w:r w:rsidRPr="007D6D9A">
        <w:rPr>
          <w:rFonts w:ascii="Times New Roman" w:hAnsi="Times New Roman" w:cs="Times New Roman"/>
          <w:sz w:val="22"/>
          <w:szCs w:val="22"/>
        </w:rPr>
        <w:t>A third strand, macro-econometric models such as energy-environment-economy (3E) frameworks (e.g., E3ME, NEMESIS), estimates dynamic adjustment from historical data in terms of key economic variables (GDP, employment, investment) over time, and has been applied particularly to economic analysis of European energy and climate policy (</w:t>
      </w:r>
      <w:proofErr w:type="spellStart"/>
      <w:r w:rsidRPr="007D6D9A">
        <w:rPr>
          <w:rFonts w:ascii="Times New Roman" w:hAnsi="Times New Roman" w:cs="Times New Roman"/>
          <w:sz w:val="22"/>
          <w:szCs w:val="22"/>
        </w:rPr>
        <w:t>Alexandri</w:t>
      </w:r>
      <w:proofErr w:type="spellEnd"/>
      <w:r w:rsidRPr="007D6D9A">
        <w:rPr>
          <w:rFonts w:ascii="Times New Roman" w:hAnsi="Times New Roman" w:cs="Times New Roman"/>
          <w:sz w:val="22"/>
          <w:szCs w:val="22"/>
        </w:rPr>
        <w:t xml:space="preserve"> et al., 2024; Ortega et al., 2020; Lehr and Lutz, 2019; Pollitt et al., 2015). These models are demand-led in the short to medium term, and combine national accounting identities with estimated behavioral equations to assess how demand shocks – policy shocks, new investment – affect sectoral output, which feeds into the labor demand through sectoral production functions and wage-setting equations, avoiding the market clearing assumptions of standard CGE models (Cambridge Econometrics, 2022; </w:t>
      </w:r>
      <w:proofErr w:type="spellStart"/>
      <w:r w:rsidRPr="007D6D9A">
        <w:rPr>
          <w:rFonts w:ascii="Times New Roman" w:hAnsi="Times New Roman" w:cs="Times New Roman"/>
          <w:sz w:val="22"/>
          <w:szCs w:val="22"/>
        </w:rPr>
        <w:t>Akcigit</w:t>
      </w:r>
      <w:proofErr w:type="spellEnd"/>
      <w:r w:rsidRPr="007D6D9A">
        <w:rPr>
          <w:rFonts w:ascii="Times New Roman" w:hAnsi="Times New Roman" w:cs="Times New Roman"/>
          <w:sz w:val="22"/>
          <w:szCs w:val="22"/>
        </w:rPr>
        <w:t xml:space="preserve"> et al., 2022). A potential weakness is that core behavioral relationships are estimated from historical time series, embedding in the model’s coefficients sectoral interdependencies (e.g., labor-output elasticities) that may be less reliable for forward-looking policy analysis. When applied to sectors whose cost and input structures are rapidly changing, these coefficients are themselves a source of uncertainty in employment estimates.</w:t>
      </w:r>
    </w:p>
    <w:p w14:paraId="352830BB" w14:textId="5A7BDAF5" w:rsidR="00EC561A" w:rsidRDefault="00EC561A" w:rsidP="00EC561A">
      <w:pPr>
        <w:pStyle w:val="Heading2"/>
      </w:pPr>
      <w:r w:rsidRPr="00A11F5E">
        <w:lastRenderedPageBreak/>
        <w:t xml:space="preserve">2.2 </w:t>
      </w:r>
      <w:r w:rsidR="00F1229F" w:rsidRPr="00F1229F">
        <w:t xml:space="preserve">Beyond cost structures: </w:t>
      </w:r>
      <w:r w:rsidR="00F1229F">
        <w:t>t</w:t>
      </w:r>
      <w:r w:rsidR="00F1229F" w:rsidRPr="00F1229F">
        <w:t>raceability and conditionality gaps</w:t>
      </w:r>
    </w:p>
    <w:p w14:paraId="6CAC11E5" w14:textId="77777777" w:rsidR="009D329E" w:rsidRPr="0071670F" w:rsidRDefault="009D329E" w:rsidP="009D329E">
      <w:pPr>
        <w:ind w:firstLine="720"/>
        <w:jc w:val="both"/>
        <w:rPr>
          <w:rFonts w:ascii="Times New Roman" w:hAnsi="Times New Roman" w:cs="Times New Roman"/>
          <w:color w:val="000000" w:themeColor="text1"/>
          <w:sz w:val="22"/>
          <w:szCs w:val="22"/>
        </w:rPr>
      </w:pPr>
      <w:r w:rsidRPr="00A038CE">
        <w:rPr>
          <w:rFonts w:ascii="Times New Roman" w:hAnsi="Times New Roman" w:cs="Times New Roman"/>
          <w:color w:val="000000" w:themeColor="text1"/>
          <w:sz w:val="22"/>
          <w:szCs w:val="22"/>
        </w:rPr>
        <w:t xml:space="preserve">As discussed in </w:t>
      </w:r>
      <w:r>
        <w:rPr>
          <w:rFonts w:ascii="Times New Roman" w:hAnsi="Times New Roman" w:cs="Times New Roman"/>
          <w:color w:val="000000" w:themeColor="text1"/>
          <w:sz w:val="22"/>
          <w:szCs w:val="22"/>
        </w:rPr>
        <w:t>the previous section</w:t>
      </w:r>
      <w:r w:rsidRPr="00A038CE">
        <w:rPr>
          <w:rFonts w:ascii="Times New Roman" w:hAnsi="Times New Roman" w:cs="Times New Roman"/>
          <w:color w:val="000000" w:themeColor="text1"/>
          <w:sz w:val="22"/>
          <w:szCs w:val="22"/>
        </w:rPr>
        <w:t xml:space="preserve">, each tradition of estimating the job creation potential of green investments embeds fixed cost-structure assumptions </w:t>
      </w:r>
      <w:r>
        <w:rPr>
          <w:rFonts w:ascii="Times New Roman" w:hAnsi="Times New Roman" w:cs="Times New Roman"/>
          <w:color w:val="000000" w:themeColor="text1"/>
          <w:sz w:val="22"/>
          <w:szCs w:val="22"/>
        </w:rPr>
        <w:t xml:space="preserve">and historical </w:t>
      </w:r>
      <w:r>
        <w:rPr>
          <w:rFonts w:ascii="Times New Roman" w:hAnsi="Times New Roman" w:cs="Times New Roman"/>
          <w:sz w:val="22"/>
          <w:szCs w:val="22"/>
        </w:rPr>
        <w:t>relationships</w:t>
      </w:r>
      <w:r w:rsidRPr="00A038CE">
        <w:rPr>
          <w:rFonts w:ascii="Times New Roman" w:hAnsi="Times New Roman" w:cs="Times New Roman"/>
          <w:color w:val="000000" w:themeColor="text1"/>
          <w:sz w:val="22"/>
          <w:szCs w:val="22"/>
        </w:rPr>
        <w:t xml:space="preserve"> in its</w:t>
      </w:r>
      <w:r>
        <w:rPr>
          <w:rFonts w:ascii="Times New Roman" w:hAnsi="Times New Roman" w:cs="Times New Roman"/>
          <w:color w:val="000000" w:themeColor="text1"/>
          <w:sz w:val="22"/>
          <w:szCs w:val="22"/>
        </w:rPr>
        <w:t xml:space="preserve"> </w:t>
      </w:r>
      <w:r w:rsidRPr="00A038CE">
        <w:rPr>
          <w:rFonts w:ascii="Times New Roman" w:hAnsi="Times New Roman" w:cs="Times New Roman"/>
          <w:color w:val="000000" w:themeColor="text1"/>
          <w:sz w:val="22"/>
          <w:szCs w:val="22"/>
        </w:rPr>
        <w:t xml:space="preserve">models, but none treats them as uncertain. </w:t>
      </w:r>
      <w:r>
        <w:rPr>
          <w:rFonts w:ascii="Times New Roman" w:hAnsi="Times New Roman" w:cs="Times New Roman"/>
          <w:color w:val="000000" w:themeColor="text1"/>
          <w:sz w:val="22"/>
          <w:szCs w:val="22"/>
        </w:rPr>
        <w:t>Although not directly linked to employment outcomes, uncertainty in cost trajectories has been documented in the low-carbon technology literature. Renewable energy t</w:t>
      </w:r>
      <w:r w:rsidRPr="000800DC">
        <w:rPr>
          <w:rFonts w:ascii="Times New Roman" w:hAnsi="Times New Roman" w:cs="Times New Roman"/>
          <w:color w:val="000000" w:themeColor="text1"/>
          <w:sz w:val="22"/>
          <w:szCs w:val="22"/>
        </w:rPr>
        <w:t xml:space="preserve">echnology costs </w:t>
      </w:r>
      <w:r>
        <w:rPr>
          <w:rFonts w:ascii="Times New Roman" w:hAnsi="Times New Roman" w:cs="Times New Roman"/>
          <w:color w:val="000000" w:themeColor="text1"/>
          <w:sz w:val="22"/>
          <w:szCs w:val="22"/>
        </w:rPr>
        <w:t>in</w:t>
      </w:r>
      <w:r w:rsidRPr="000800DC">
        <w:rPr>
          <w:rFonts w:ascii="Times New Roman" w:hAnsi="Times New Roman" w:cs="Times New Roman"/>
          <w:color w:val="000000" w:themeColor="text1"/>
          <w:sz w:val="22"/>
          <w:szCs w:val="22"/>
        </w:rPr>
        <w:t xml:space="preserve"> energy-economy models, such as integrated assessment models (IAM), have </w:t>
      </w:r>
      <w:r>
        <w:rPr>
          <w:rFonts w:ascii="Times New Roman" w:hAnsi="Times New Roman" w:cs="Times New Roman"/>
          <w:color w:val="000000" w:themeColor="text1"/>
          <w:sz w:val="22"/>
          <w:szCs w:val="22"/>
        </w:rPr>
        <w:t xml:space="preserve">been shown to be </w:t>
      </w:r>
      <w:r w:rsidRPr="000800DC">
        <w:rPr>
          <w:rFonts w:ascii="Times New Roman" w:hAnsi="Times New Roman" w:cs="Times New Roman"/>
          <w:color w:val="000000" w:themeColor="text1"/>
          <w:sz w:val="22"/>
          <w:szCs w:val="22"/>
        </w:rPr>
        <w:t xml:space="preserve">consistently overestimated </w:t>
      </w:r>
      <w:r>
        <w:rPr>
          <w:rFonts w:ascii="Times New Roman" w:hAnsi="Times New Roman" w:cs="Times New Roman"/>
          <w:color w:val="000000" w:themeColor="text1"/>
          <w:sz w:val="22"/>
          <w:szCs w:val="22"/>
        </w:rPr>
        <w:t>relative</w:t>
      </w:r>
      <w:r w:rsidRPr="000800DC">
        <w:rPr>
          <w:rFonts w:ascii="Times New Roman" w:hAnsi="Times New Roman" w:cs="Times New Roman"/>
          <w:color w:val="000000" w:themeColor="text1"/>
          <w:sz w:val="22"/>
          <w:szCs w:val="22"/>
        </w:rPr>
        <w:t xml:space="preserve"> to historical data</w:t>
      </w:r>
      <w:r>
        <w:rPr>
          <w:rFonts w:ascii="Times New Roman" w:hAnsi="Times New Roman" w:cs="Times New Roman"/>
          <w:color w:val="000000" w:themeColor="text1"/>
          <w:sz w:val="22"/>
          <w:szCs w:val="22"/>
        </w:rPr>
        <w:t>, largely due to ad hoc assumptions on adoption and diffusion rates in mitigation pathways (</w:t>
      </w:r>
      <w:proofErr w:type="spellStart"/>
      <w:r w:rsidRPr="00B07B4C">
        <w:rPr>
          <w:rFonts w:ascii="Times New Roman" w:hAnsi="Times New Roman" w:cs="Times New Roman"/>
          <w:sz w:val="22"/>
          <w:szCs w:val="22"/>
        </w:rPr>
        <w:t>Achakulwisut</w:t>
      </w:r>
      <w:proofErr w:type="spellEnd"/>
      <w:r>
        <w:rPr>
          <w:rFonts w:ascii="Times New Roman" w:hAnsi="Times New Roman" w:cs="Times New Roman"/>
          <w:sz w:val="22"/>
          <w:szCs w:val="22"/>
        </w:rPr>
        <w:t xml:space="preserve"> et al., 2023</w:t>
      </w:r>
      <w:r>
        <w:rPr>
          <w:rFonts w:ascii="Times New Roman" w:hAnsi="Times New Roman" w:cs="Times New Roman"/>
          <w:color w:val="000000" w:themeColor="text1"/>
          <w:sz w:val="22"/>
          <w:szCs w:val="22"/>
        </w:rPr>
        <w:t xml:space="preserve">; Way et al., 2022; Mercure et al., 2016). Beyond aggregate cost levels, </w:t>
      </w:r>
      <w:r w:rsidRPr="00AF5A51">
        <w:rPr>
          <w:rFonts w:ascii="Times New Roman" w:hAnsi="Times New Roman" w:cs="Times New Roman"/>
          <w:color w:val="000000" w:themeColor="text1"/>
          <w:sz w:val="22"/>
          <w:szCs w:val="22"/>
        </w:rPr>
        <w:t>the composition of cost reductions also shifts over time</w:t>
      </w:r>
      <w:r>
        <w:rPr>
          <w:rFonts w:ascii="Times New Roman" w:hAnsi="Times New Roman" w:cs="Times New Roman"/>
          <w:color w:val="000000" w:themeColor="text1"/>
          <w:sz w:val="22"/>
          <w:szCs w:val="22"/>
        </w:rPr>
        <w:t xml:space="preserve">, switching from low-level mechanisms (e.g., </w:t>
      </w:r>
      <w:r w:rsidRPr="00DF085D">
        <w:rPr>
          <w:rFonts w:ascii="Times New Roman" w:hAnsi="Times New Roman" w:cs="Times New Roman"/>
          <w:color w:val="000000" w:themeColor="text1"/>
          <w:sz w:val="22"/>
          <w:szCs w:val="22"/>
        </w:rPr>
        <w:t>efficiency or material usage</w:t>
      </w:r>
      <w:r>
        <w:rPr>
          <w:rFonts w:ascii="Times New Roman" w:hAnsi="Times New Roman" w:cs="Times New Roman"/>
          <w:color w:val="000000" w:themeColor="text1"/>
          <w:sz w:val="22"/>
          <w:szCs w:val="22"/>
        </w:rPr>
        <w:t>) in early stages to R&amp;D and economies of scale in later ones (</w:t>
      </w:r>
      <w:proofErr w:type="spellStart"/>
      <w:r>
        <w:rPr>
          <w:rFonts w:ascii="Times New Roman" w:hAnsi="Times New Roman" w:cs="Times New Roman"/>
          <w:color w:val="000000" w:themeColor="text1"/>
          <w:sz w:val="22"/>
          <w:szCs w:val="22"/>
        </w:rPr>
        <w:t>Kavlak</w:t>
      </w:r>
      <w:proofErr w:type="spellEnd"/>
      <w:r>
        <w:rPr>
          <w:rFonts w:ascii="Times New Roman" w:hAnsi="Times New Roman" w:cs="Times New Roman"/>
          <w:color w:val="000000" w:themeColor="text1"/>
          <w:sz w:val="22"/>
          <w:szCs w:val="22"/>
        </w:rPr>
        <w:t xml:space="preserve"> et al., 2018; Rubin et al., 2015). </w:t>
      </w:r>
      <w:r w:rsidRPr="00EC4C4E">
        <w:rPr>
          <w:rFonts w:ascii="Times New Roman" w:hAnsi="Times New Roman" w:cs="Times New Roman"/>
          <w:color w:val="000000" w:themeColor="text1"/>
          <w:sz w:val="22"/>
          <w:szCs w:val="22"/>
        </w:rPr>
        <w:t>Both the level and the internal composition costs</w:t>
      </w:r>
      <w:r>
        <w:rPr>
          <w:rFonts w:ascii="Times New Roman" w:hAnsi="Times New Roman" w:cs="Times New Roman"/>
          <w:color w:val="000000" w:themeColor="text1"/>
          <w:sz w:val="22"/>
          <w:szCs w:val="22"/>
        </w:rPr>
        <w:t xml:space="preserve"> are affected </w:t>
      </w:r>
      <w:r w:rsidRPr="00E03370">
        <w:rPr>
          <w:rFonts w:ascii="Times New Roman" w:hAnsi="Times New Roman" w:cs="Times New Roman"/>
          <w:color w:val="000000" w:themeColor="text1"/>
          <w:sz w:val="22"/>
          <w:szCs w:val="22"/>
        </w:rPr>
        <w:t>as technologies and processes evolve</w:t>
      </w:r>
      <w:r>
        <w:rPr>
          <w:rFonts w:ascii="Times New Roman" w:hAnsi="Times New Roman" w:cs="Times New Roman"/>
          <w:color w:val="000000" w:themeColor="text1"/>
          <w:sz w:val="22"/>
          <w:szCs w:val="22"/>
        </w:rPr>
        <w:t xml:space="preserve"> over time, </w:t>
      </w:r>
      <w:r w:rsidRPr="001239C8">
        <w:rPr>
          <w:rFonts w:ascii="Times New Roman" w:hAnsi="Times New Roman" w:cs="Times New Roman"/>
          <w:color w:val="000000" w:themeColor="text1"/>
          <w:sz w:val="22"/>
          <w:szCs w:val="22"/>
        </w:rPr>
        <w:t>yet the employment literature treats them as known inputs</w:t>
      </w:r>
      <w:r>
        <w:rPr>
          <w:rFonts w:ascii="Times New Roman" w:hAnsi="Times New Roman" w:cs="Times New Roman"/>
          <w:color w:val="000000" w:themeColor="text1"/>
          <w:sz w:val="22"/>
          <w:szCs w:val="22"/>
        </w:rPr>
        <w:t>.</w:t>
      </w:r>
    </w:p>
    <w:p w14:paraId="20377781" w14:textId="77777777" w:rsidR="009D329E" w:rsidRDefault="009D329E" w:rsidP="009D329E">
      <w:pPr>
        <w:ind w:firstLine="720"/>
        <w:jc w:val="both"/>
        <w:rPr>
          <w:rFonts w:ascii="Times New Roman" w:hAnsi="Times New Roman" w:cs="Times New Roman"/>
          <w:sz w:val="22"/>
          <w:szCs w:val="22"/>
        </w:rPr>
      </w:pPr>
      <w:r>
        <w:rPr>
          <w:rFonts w:ascii="Times New Roman" w:hAnsi="Times New Roman" w:cs="Times New Roman"/>
          <w:sz w:val="22"/>
          <w:szCs w:val="22"/>
        </w:rPr>
        <w:t>M</w:t>
      </w:r>
      <w:r w:rsidRPr="000563AE">
        <w:rPr>
          <w:rFonts w:ascii="Times New Roman" w:hAnsi="Times New Roman" w:cs="Times New Roman"/>
          <w:sz w:val="22"/>
          <w:szCs w:val="22"/>
        </w:rPr>
        <w:t>ost employment estimates from climate investments are produced under a single cost configuration per action, with authors typically acknowledging cost-structure uncertainty in their</w:t>
      </w:r>
      <w:r>
        <w:rPr>
          <w:rFonts w:ascii="Times New Roman" w:hAnsi="Times New Roman" w:cs="Times New Roman"/>
          <w:sz w:val="22"/>
          <w:szCs w:val="22"/>
        </w:rPr>
        <w:t xml:space="preserve"> </w:t>
      </w:r>
      <w:r w:rsidRPr="000563AE">
        <w:rPr>
          <w:rFonts w:ascii="Times New Roman" w:hAnsi="Times New Roman" w:cs="Times New Roman"/>
          <w:sz w:val="22"/>
          <w:szCs w:val="22"/>
        </w:rPr>
        <w:t>limitations rather than addressing it analytically. A few studies went further by testing multiple configurations, but still without systematic exploration of the parameter space. Ram et al. (2022) estimate</w:t>
      </w:r>
      <w:r>
        <w:rPr>
          <w:rFonts w:ascii="Times New Roman" w:hAnsi="Times New Roman" w:cs="Times New Roman"/>
          <w:sz w:val="22"/>
          <w:szCs w:val="22"/>
        </w:rPr>
        <w:t xml:space="preserve"> </w:t>
      </w:r>
      <w:r w:rsidRPr="000563AE">
        <w:rPr>
          <w:rFonts w:ascii="Times New Roman" w:hAnsi="Times New Roman" w:cs="Times New Roman"/>
          <w:sz w:val="22"/>
          <w:szCs w:val="22"/>
        </w:rPr>
        <w:t>dynamic employment factors that decline as energy technologies mature, capturing changes in regional labor intensities over time. Nonetheless, the analysis is restricted to a single scenario with no</w:t>
      </w:r>
      <w:r>
        <w:rPr>
          <w:rFonts w:ascii="Times New Roman" w:hAnsi="Times New Roman" w:cs="Times New Roman"/>
          <w:sz w:val="22"/>
          <w:szCs w:val="22"/>
        </w:rPr>
        <w:t xml:space="preserve"> </w:t>
      </w:r>
      <w:r w:rsidRPr="000563AE">
        <w:rPr>
          <w:rFonts w:ascii="Times New Roman" w:hAnsi="Times New Roman" w:cs="Times New Roman"/>
          <w:sz w:val="22"/>
          <w:szCs w:val="22"/>
        </w:rPr>
        <w:t xml:space="preserve">alternative cost assumptions and no sensitivity tests on parameters </w:t>
      </w:r>
      <w:r>
        <w:rPr>
          <w:rFonts w:ascii="Times New Roman" w:hAnsi="Times New Roman" w:cs="Times New Roman"/>
          <w:sz w:val="22"/>
          <w:szCs w:val="22"/>
        </w:rPr>
        <w:t xml:space="preserve">(e.g., </w:t>
      </w:r>
      <w:r w:rsidRPr="000563AE">
        <w:rPr>
          <w:rFonts w:ascii="Times New Roman" w:hAnsi="Times New Roman" w:cs="Times New Roman"/>
          <w:sz w:val="22"/>
          <w:szCs w:val="22"/>
        </w:rPr>
        <w:t>export-import dynamics</w:t>
      </w:r>
      <w:r>
        <w:rPr>
          <w:rFonts w:ascii="Times New Roman" w:hAnsi="Times New Roman" w:cs="Times New Roman"/>
          <w:sz w:val="22"/>
          <w:szCs w:val="22"/>
        </w:rPr>
        <w:t>)</w:t>
      </w:r>
      <w:r w:rsidRPr="000563AE">
        <w:rPr>
          <w:rFonts w:ascii="Times New Roman" w:hAnsi="Times New Roman" w:cs="Times New Roman"/>
          <w:sz w:val="22"/>
          <w:szCs w:val="22"/>
        </w:rPr>
        <w:t xml:space="preserve">. Černý et al. (2021) produce employment estimates for higher renewable penetration in </w:t>
      </w:r>
      <w:r>
        <w:rPr>
          <w:rFonts w:ascii="Times New Roman" w:hAnsi="Times New Roman" w:cs="Times New Roman"/>
          <w:sz w:val="22"/>
          <w:szCs w:val="22"/>
        </w:rPr>
        <w:t xml:space="preserve">the </w:t>
      </w:r>
      <w:r w:rsidRPr="000563AE">
        <w:rPr>
          <w:rFonts w:ascii="Times New Roman" w:hAnsi="Times New Roman" w:cs="Times New Roman"/>
          <w:sz w:val="22"/>
          <w:szCs w:val="22"/>
        </w:rPr>
        <w:t>E</w:t>
      </w:r>
      <w:r>
        <w:rPr>
          <w:rFonts w:ascii="Times New Roman" w:hAnsi="Times New Roman" w:cs="Times New Roman"/>
          <w:sz w:val="22"/>
          <w:szCs w:val="22"/>
        </w:rPr>
        <w:t xml:space="preserve">uropean </w:t>
      </w:r>
      <w:r w:rsidRPr="000563AE">
        <w:rPr>
          <w:rFonts w:ascii="Times New Roman" w:hAnsi="Times New Roman" w:cs="Times New Roman"/>
          <w:sz w:val="22"/>
          <w:szCs w:val="22"/>
        </w:rPr>
        <w:t>U</w:t>
      </w:r>
      <w:r>
        <w:rPr>
          <w:rFonts w:ascii="Times New Roman" w:hAnsi="Times New Roman" w:cs="Times New Roman"/>
          <w:sz w:val="22"/>
          <w:szCs w:val="22"/>
        </w:rPr>
        <w:t>nion</w:t>
      </w:r>
      <w:r w:rsidRPr="000563AE">
        <w:rPr>
          <w:rFonts w:ascii="Times New Roman" w:hAnsi="Times New Roman" w:cs="Times New Roman"/>
          <w:sz w:val="22"/>
          <w:szCs w:val="22"/>
        </w:rPr>
        <w:t xml:space="preserve"> electricity generation with scenario variation in deployment (100% renewables vs. baseline) but fixed cost breakdowns and trajectories drawn from a single source (Carlsson et al., 2014). </w:t>
      </w:r>
    </w:p>
    <w:p w14:paraId="0AF04657" w14:textId="77777777" w:rsidR="009D329E" w:rsidRPr="001B12B7" w:rsidRDefault="009D329E" w:rsidP="009D329E">
      <w:pPr>
        <w:ind w:firstLine="720"/>
        <w:jc w:val="both"/>
        <w:rPr>
          <w:rFonts w:ascii="Times New Roman" w:hAnsi="Times New Roman" w:cs="Times New Roman"/>
          <w:sz w:val="22"/>
          <w:szCs w:val="22"/>
        </w:rPr>
      </w:pPr>
      <w:r w:rsidRPr="000563AE">
        <w:rPr>
          <w:rFonts w:ascii="Times New Roman" w:hAnsi="Times New Roman" w:cs="Times New Roman"/>
          <w:sz w:val="22"/>
          <w:szCs w:val="22"/>
        </w:rPr>
        <w:t>Muller et al. (2024), modeling employment from green hydrogen infrastructure, find statistically significant differences in employment outcomes across 160 investment allocations that vary technology components and domestic supply shares.</w:t>
      </w:r>
      <w:r>
        <w:rPr>
          <w:rFonts w:ascii="Times New Roman" w:hAnsi="Times New Roman" w:cs="Times New Roman"/>
          <w:sz w:val="22"/>
          <w:szCs w:val="22"/>
        </w:rPr>
        <w:t xml:space="preserve"> </w:t>
      </w:r>
      <w:r w:rsidRPr="000563AE">
        <w:rPr>
          <w:rFonts w:ascii="Times New Roman" w:hAnsi="Times New Roman" w:cs="Times New Roman"/>
          <w:sz w:val="22"/>
          <w:szCs w:val="22"/>
        </w:rPr>
        <w:t>Yet the allocations draw on existing literature-based mappings, some outdated, and the analysis does not identify which conditions separate high from low employment outcomes. In the U.S. power sector, Bücker et al. (2025) assume a fixed spending breakdown for energy technologies, allowing unit costs to vary but not how each dollar is allocated across sectors. The authors explicitly acknowledge that this choice</w:t>
      </w:r>
      <w:r>
        <w:rPr>
          <w:rFonts w:ascii="Times New Roman" w:hAnsi="Times New Roman" w:cs="Times New Roman"/>
          <w:sz w:val="22"/>
          <w:szCs w:val="22"/>
        </w:rPr>
        <w:t xml:space="preserve"> </w:t>
      </w:r>
      <w:r w:rsidRPr="000563AE">
        <w:rPr>
          <w:rFonts w:ascii="Times New Roman" w:hAnsi="Times New Roman" w:cs="Times New Roman"/>
          <w:sz w:val="22"/>
          <w:szCs w:val="22"/>
        </w:rPr>
        <w:t>directly affects labor demand estimates, yet do not systematically map the conditions under which employment outcomes are favorable. Across these studies, cost-structure parameters are either held fixed or</w:t>
      </w:r>
      <w:r>
        <w:rPr>
          <w:rFonts w:ascii="Times New Roman" w:hAnsi="Times New Roman" w:cs="Times New Roman"/>
          <w:sz w:val="22"/>
          <w:szCs w:val="22"/>
        </w:rPr>
        <w:t xml:space="preserve"> </w:t>
      </w:r>
      <w:r w:rsidRPr="000563AE">
        <w:rPr>
          <w:rFonts w:ascii="Times New Roman" w:hAnsi="Times New Roman" w:cs="Times New Roman"/>
          <w:sz w:val="22"/>
          <w:szCs w:val="22"/>
        </w:rPr>
        <w:t>tested in discrete alternatives</w:t>
      </w:r>
      <w:r>
        <w:rPr>
          <w:rFonts w:ascii="Times New Roman" w:hAnsi="Times New Roman" w:cs="Times New Roman"/>
          <w:sz w:val="22"/>
          <w:szCs w:val="22"/>
        </w:rPr>
        <w:t xml:space="preserve">, </w:t>
      </w:r>
      <w:r w:rsidRPr="000563AE">
        <w:rPr>
          <w:rFonts w:ascii="Times New Roman" w:hAnsi="Times New Roman" w:cs="Times New Roman"/>
          <w:sz w:val="22"/>
          <w:szCs w:val="22"/>
        </w:rPr>
        <w:t>and none identifies the combinations of conditions that determine whether employment</w:t>
      </w:r>
      <w:r>
        <w:rPr>
          <w:rFonts w:ascii="Times New Roman" w:hAnsi="Times New Roman" w:cs="Times New Roman"/>
          <w:sz w:val="22"/>
          <w:szCs w:val="22"/>
        </w:rPr>
        <w:t xml:space="preserve"> </w:t>
      </w:r>
      <w:r w:rsidRPr="000563AE">
        <w:rPr>
          <w:rFonts w:ascii="Times New Roman" w:hAnsi="Times New Roman" w:cs="Times New Roman"/>
          <w:sz w:val="22"/>
          <w:szCs w:val="22"/>
        </w:rPr>
        <w:t>co-benefits materialize.</w:t>
      </w:r>
    </w:p>
    <w:p w14:paraId="72D61200" w14:textId="2BF9BF54" w:rsidR="0008350C" w:rsidRPr="009D329E" w:rsidRDefault="009D329E" w:rsidP="009D329E">
      <w:pPr>
        <w:ind w:firstLine="720"/>
        <w:jc w:val="both"/>
        <w:rPr>
          <w:rFonts w:ascii="Times New Roman" w:hAnsi="Times New Roman" w:cs="Times New Roman"/>
          <w:color w:val="000000" w:themeColor="text1"/>
          <w:sz w:val="22"/>
          <w:szCs w:val="22"/>
        </w:rPr>
      </w:pPr>
      <w:r w:rsidRPr="008D1E4B">
        <w:rPr>
          <w:rFonts w:ascii="Times New Roman" w:hAnsi="Times New Roman" w:cs="Times New Roman"/>
          <w:color w:val="000000" w:themeColor="text1"/>
          <w:sz w:val="22"/>
          <w:szCs w:val="22"/>
        </w:rPr>
        <w:t>Recent work has called for country-specific, scenario-dependent analysis of labor demand in the green transition (Mealy et al., 2025). To our knowledge, no study has systematically explored which</w:t>
      </w:r>
      <w:r>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 xml:space="preserve">cost-structure configurations </w:t>
      </w:r>
      <w:r>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 xml:space="preserve">at which implementation levels </w:t>
      </w:r>
      <w:r>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separate cases where climate investments create substantial employment from those where they do not. This is a problem well suited to decision making under deep uncertainty (DMDU). The DMDU literature defines deep uncertainty as the condition where parties "</w:t>
      </w:r>
      <w:r w:rsidRPr="008D1E4B">
        <w:rPr>
          <w:rFonts w:ascii="Times New Roman" w:hAnsi="Times New Roman" w:cs="Times New Roman"/>
          <w:i/>
          <w:iCs/>
          <w:color w:val="000000" w:themeColor="text1"/>
          <w:sz w:val="22"/>
          <w:szCs w:val="22"/>
        </w:rPr>
        <w:t>do not know or agree on the prior probability distributions for input parameters</w:t>
      </w:r>
      <w:r w:rsidRPr="008D1E4B">
        <w:rPr>
          <w:rFonts w:ascii="Times New Roman" w:hAnsi="Times New Roman" w:cs="Times New Roman"/>
          <w:color w:val="000000" w:themeColor="text1"/>
          <w:sz w:val="22"/>
          <w:szCs w:val="22"/>
        </w:rPr>
        <w:t>" to their</w:t>
      </w:r>
      <w:r>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models (Bryant and Lempert, 2010). The variation in cost-structure assumptions documented above</w:t>
      </w:r>
      <w:r>
        <w:rPr>
          <w:rFonts w:ascii="Times New Roman" w:hAnsi="Times New Roman" w:cs="Times New Roman"/>
          <w:color w:val="000000" w:themeColor="text1"/>
          <w:sz w:val="22"/>
          <w:szCs w:val="22"/>
        </w:rPr>
        <w:t xml:space="preserve"> – </w:t>
      </w:r>
      <w:r w:rsidRPr="008D1E4B">
        <w:rPr>
          <w:rFonts w:ascii="Times New Roman" w:hAnsi="Times New Roman" w:cs="Times New Roman"/>
          <w:color w:val="000000" w:themeColor="text1"/>
          <w:sz w:val="22"/>
          <w:szCs w:val="22"/>
        </w:rPr>
        <w:t xml:space="preserve">across countries, technologies, and time </w:t>
      </w:r>
      <w:r>
        <w:rPr>
          <w:rFonts w:ascii="Times New Roman" w:hAnsi="Times New Roman" w:cs="Times New Roman"/>
          <w:color w:val="000000" w:themeColor="text1"/>
          <w:sz w:val="22"/>
          <w:szCs w:val="22"/>
        </w:rPr>
        <w:t xml:space="preserve">– </w:t>
      </w:r>
      <w:r w:rsidRPr="008D1E4B">
        <w:rPr>
          <w:rFonts w:ascii="Times New Roman" w:hAnsi="Times New Roman" w:cs="Times New Roman"/>
          <w:color w:val="000000" w:themeColor="text1"/>
          <w:sz w:val="22"/>
          <w:szCs w:val="22"/>
        </w:rPr>
        <w:t>meets this condition</w:t>
      </w:r>
      <w:r>
        <w:rPr>
          <w:rFonts w:ascii="Times New Roman" w:hAnsi="Times New Roman" w:cs="Times New Roman"/>
          <w:color w:val="000000" w:themeColor="text1"/>
          <w:sz w:val="22"/>
          <w:szCs w:val="22"/>
        </w:rPr>
        <w:t xml:space="preserve">. When no single parametrization can be validated, exploratory modeling offers an alternative: testing a wide range of plausible input combinations and tracing </w:t>
      </w:r>
      <w:r>
        <w:rPr>
          <w:rFonts w:ascii="Times New Roman" w:hAnsi="Times New Roman" w:cs="Times New Roman"/>
          <w:color w:val="000000" w:themeColor="text1"/>
          <w:sz w:val="22"/>
          <w:szCs w:val="22"/>
        </w:rPr>
        <w:lastRenderedPageBreak/>
        <w:t xml:space="preserve">how outcomes respond (Lempert, 2025). </w:t>
      </w:r>
      <w:r w:rsidRPr="006D5757">
        <w:rPr>
          <w:rFonts w:ascii="Times New Roman" w:hAnsi="Times New Roman" w:cs="Times New Roman"/>
          <w:color w:val="000000" w:themeColor="text1"/>
          <w:sz w:val="22"/>
          <w:szCs w:val="22"/>
        </w:rPr>
        <w:t xml:space="preserve">Scenario discovery algorithms then identify which combinations of uncertain parameters separate favorable from unfavorable outcomes </w:t>
      </w:r>
      <w:r w:rsidRPr="008D1E4B">
        <w:rPr>
          <w:rFonts w:ascii="Times New Roman" w:hAnsi="Times New Roman" w:cs="Times New Roman"/>
          <w:color w:val="000000" w:themeColor="text1"/>
          <w:sz w:val="22"/>
          <w:szCs w:val="22"/>
        </w:rPr>
        <w:t xml:space="preserve">(Lempert, 2025; Bryant and Lempert, 2010). This approach has been </w:t>
      </w:r>
      <w:r>
        <w:rPr>
          <w:rFonts w:ascii="Times New Roman" w:hAnsi="Times New Roman" w:cs="Times New Roman"/>
          <w:color w:val="000000" w:themeColor="text1"/>
          <w:sz w:val="22"/>
          <w:szCs w:val="22"/>
        </w:rPr>
        <w:t xml:space="preserve">widely </w:t>
      </w:r>
      <w:r w:rsidRPr="008D1E4B">
        <w:rPr>
          <w:rFonts w:ascii="Times New Roman" w:hAnsi="Times New Roman" w:cs="Times New Roman"/>
          <w:color w:val="000000" w:themeColor="text1"/>
          <w:sz w:val="22"/>
          <w:szCs w:val="22"/>
        </w:rPr>
        <w:t>applied to climate policy design</w:t>
      </w:r>
      <w:r>
        <w:rPr>
          <w:rFonts w:ascii="Times New Roman" w:hAnsi="Times New Roman" w:cs="Times New Roman"/>
          <w:color w:val="000000" w:themeColor="text1"/>
          <w:sz w:val="22"/>
          <w:szCs w:val="22"/>
        </w:rPr>
        <w:t xml:space="preserve"> (Kalra et al., 2024; Groves et al., 2020; Groves et al., 2019), including under </w:t>
      </w:r>
      <w:r w:rsidRPr="008D1E4B">
        <w:rPr>
          <w:rFonts w:ascii="Times New Roman" w:hAnsi="Times New Roman" w:cs="Times New Roman"/>
          <w:color w:val="000000" w:themeColor="text1"/>
          <w:sz w:val="22"/>
          <w:szCs w:val="22"/>
        </w:rPr>
        <w:t>technology cost uncertainty (Workman et al., 2024), but not to the employment outcomes of climate investments.</w:t>
      </w:r>
    </w:p>
    <w:p w14:paraId="34A1F28C" w14:textId="77777777" w:rsidR="00EC561A" w:rsidRPr="00A11F5E" w:rsidRDefault="00EC561A" w:rsidP="00EC561A">
      <w:pPr>
        <w:pStyle w:val="Heading1"/>
      </w:pPr>
      <w:r w:rsidRPr="00A11F5E">
        <w:t>3. The Analytical Framework</w:t>
      </w:r>
    </w:p>
    <w:p w14:paraId="43E2A513" w14:textId="77777777" w:rsidR="00EC561A" w:rsidRPr="00A11F5E" w:rsidRDefault="00EC561A" w:rsidP="00EC561A">
      <w:pPr>
        <w:pStyle w:val="Heading2"/>
      </w:pPr>
      <w:r w:rsidRPr="00A11F5E">
        <w:t>3.1 Overview and pipeline architecture</w:t>
      </w:r>
    </w:p>
    <w:p w14:paraId="37CAECAC" w14:textId="77777777" w:rsidR="00EC561A" w:rsidRPr="00A11F5E" w:rsidRDefault="00EC561A" w:rsidP="00EC561A">
      <w:pPr>
        <w:pStyle w:val="Heading2"/>
      </w:pPr>
      <w:r w:rsidRPr="00A11F5E">
        <w:t>3.2 Emissions pathway construction (SISEPUEDE)</w:t>
      </w:r>
    </w:p>
    <w:p w14:paraId="2B503C67" w14:textId="1C9D4C74" w:rsidR="00EC561A" w:rsidRPr="00A11F5E" w:rsidRDefault="00EC561A" w:rsidP="00790308">
      <w:pPr>
        <w:jc w:val="both"/>
        <w:rPr>
          <w:rFonts w:ascii="Times New Roman" w:hAnsi="Times New Roman" w:cs="Times New Roman"/>
        </w:rPr>
      </w:pPr>
    </w:p>
    <w:p w14:paraId="402A0C1E" w14:textId="77777777" w:rsidR="00EC561A" w:rsidRPr="00A11F5E" w:rsidRDefault="00EC561A" w:rsidP="00EC561A">
      <w:pPr>
        <w:pStyle w:val="Heading2"/>
      </w:pPr>
      <w:r w:rsidRPr="00A11F5E">
        <w:t>3.3 Cost estimation and learning curve extension</w:t>
      </w:r>
    </w:p>
    <w:p w14:paraId="68BEA775" w14:textId="598AC266" w:rsidR="00EC561A" w:rsidRPr="001B55EE" w:rsidRDefault="00EC561A" w:rsidP="00790308">
      <w:pPr>
        <w:jc w:val="both"/>
        <w:rPr>
          <w:rFonts w:ascii="Times New Roman" w:hAnsi="Times New Roman" w:cs="Times New Roman"/>
          <w:sz w:val="22"/>
          <w:szCs w:val="22"/>
        </w:rPr>
      </w:pPr>
    </w:p>
    <w:p w14:paraId="432C2D25" w14:textId="215A4F70" w:rsidR="00EC561A" w:rsidRDefault="00EC561A" w:rsidP="00790308">
      <w:pPr>
        <w:pStyle w:val="Heading2"/>
      </w:pPr>
      <w:r w:rsidRPr="00A11F5E">
        <w:t>3.4 Cost-structure translation to input-output analysis (MINDSET)</w:t>
      </w:r>
    </w:p>
    <w:p w14:paraId="62DF800C" w14:textId="77777777" w:rsidR="00F1229F" w:rsidRPr="00F1229F" w:rsidRDefault="00F1229F" w:rsidP="00F1229F"/>
    <w:p w14:paraId="10CCBB10" w14:textId="77777777" w:rsidR="00EC561A" w:rsidRPr="00A11F5E" w:rsidRDefault="00EC561A" w:rsidP="00EC561A">
      <w:pPr>
        <w:pStyle w:val="Heading2"/>
      </w:pPr>
      <w:r w:rsidRPr="00A11F5E">
        <w:t>3.5 Employment estimation</w:t>
      </w:r>
    </w:p>
    <w:p w14:paraId="0FA63953" w14:textId="4E10F752" w:rsidR="00EC561A" w:rsidRPr="001B55EE" w:rsidRDefault="00EC561A" w:rsidP="00EC561A">
      <w:pPr>
        <w:jc w:val="both"/>
        <w:rPr>
          <w:rFonts w:ascii="Times New Roman" w:hAnsi="Times New Roman" w:cs="Times New Roman"/>
          <w:sz w:val="22"/>
          <w:szCs w:val="22"/>
        </w:rPr>
      </w:pPr>
    </w:p>
    <w:p w14:paraId="76F1F10D" w14:textId="77777777" w:rsidR="00EC561A" w:rsidRPr="00A11F5E" w:rsidRDefault="00EC561A" w:rsidP="00EC561A">
      <w:pPr>
        <w:pStyle w:val="Heading2"/>
      </w:pPr>
      <w:r w:rsidRPr="00A11F5E">
        <w:t>3.6 Experimental design</w:t>
      </w:r>
    </w:p>
    <w:p w14:paraId="23445C9A" w14:textId="49D7D024" w:rsidR="00EC561A" w:rsidRPr="001B55EE" w:rsidRDefault="00EC561A" w:rsidP="00EC561A">
      <w:pPr>
        <w:jc w:val="both"/>
        <w:rPr>
          <w:rFonts w:ascii="Times New Roman" w:hAnsi="Times New Roman" w:cs="Times New Roman"/>
          <w:sz w:val="22"/>
          <w:szCs w:val="22"/>
        </w:rPr>
      </w:pPr>
    </w:p>
    <w:p w14:paraId="10A14508" w14:textId="77777777" w:rsidR="00EC561A" w:rsidRDefault="00EC561A" w:rsidP="00EC561A">
      <w:pPr>
        <w:pStyle w:val="Heading2"/>
      </w:pPr>
      <w:r w:rsidRPr="00A11F5E">
        <w:t>3.7 Scenario discovery</w:t>
      </w:r>
    </w:p>
    <w:p w14:paraId="418A273B" w14:textId="77777777" w:rsidR="00F1229F" w:rsidRPr="00F1229F" w:rsidRDefault="00F1229F" w:rsidP="00F1229F"/>
    <w:p w14:paraId="6AD39A93" w14:textId="77777777" w:rsidR="00EC561A" w:rsidRPr="00A11F5E" w:rsidRDefault="00EC561A" w:rsidP="00EC561A">
      <w:pPr>
        <w:pStyle w:val="Heading1"/>
      </w:pPr>
      <w:r w:rsidRPr="00A11F5E">
        <w:lastRenderedPageBreak/>
        <w:t>4. Country Cases: Seven World Bank CCDR Applications</w:t>
      </w:r>
    </w:p>
    <w:p w14:paraId="52DDEB84" w14:textId="77777777" w:rsidR="00EC561A" w:rsidRPr="00A11F5E" w:rsidRDefault="00EC561A" w:rsidP="00EC561A">
      <w:pPr>
        <w:pStyle w:val="Heading2"/>
      </w:pPr>
      <w:r w:rsidRPr="00A11F5E">
        <w:t xml:space="preserve">4.1 The CCDR context and why </w:t>
      </w:r>
      <w:proofErr w:type="gramStart"/>
      <w:r w:rsidRPr="00A11F5E">
        <w:t>this matters</w:t>
      </w:r>
      <w:proofErr w:type="gramEnd"/>
    </w:p>
    <w:p w14:paraId="011DCD91" w14:textId="77777777" w:rsidR="00EC561A" w:rsidRPr="00A11F5E" w:rsidRDefault="00EC561A" w:rsidP="00EC561A">
      <w:pPr>
        <w:pStyle w:val="Heading2"/>
      </w:pPr>
      <w:r w:rsidRPr="00A11F5E">
        <w:t>4.2 Country profiles</w:t>
      </w:r>
    </w:p>
    <w:p w14:paraId="3EF22598" w14:textId="77777777" w:rsidR="00EC561A" w:rsidRPr="00A11F5E" w:rsidRDefault="00EC561A" w:rsidP="00EC561A">
      <w:pPr>
        <w:pStyle w:val="Heading2"/>
      </w:pPr>
      <w:r w:rsidRPr="00A11F5E">
        <w:t>4.3 Data sources and calibration</w:t>
      </w:r>
    </w:p>
    <w:p w14:paraId="5E137AC6" w14:textId="77777777" w:rsidR="00EC561A" w:rsidRPr="00A11F5E" w:rsidRDefault="00EC561A" w:rsidP="00EC561A">
      <w:pPr>
        <w:pStyle w:val="Heading1"/>
      </w:pPr>
      <w:r w:rsidRPr="00A11F5E">
        <w:t>5. Results</w:t>
      </w:r>
    </w:p>
    <w:p w14:paraId="2C59D88F" w14:textId="77777777" w:rsidR="00EC561A" w:rsidRPr="00A11F5E" w:rsidRDefault="00EC561A" w:rsidP="00EC561A">
      <w:pPr>
        <w:pStyle w:val="Heading2"/>
      </w:pPr>
      <w:r w:rsidRPr="00A11F5E">
        <w:t>5.1 Transformation-level employment estimates</w:t>
      </w:r>
    </w:p>
    <w:p w14:paraId="0EF209F8" w14:textId="77777777" w:rsidR="00EC561A" w:rsidRPr="00A11F5E" w:rsidRDefault="00EC561A" w:rsidP="00EC561A">
      <w:pPr>
        <w:pStyle w:val="Heading2"/>
      </w:pPr>
      <w:r w:rsidRPr="00A11F5E">
        <w:t>5.2 The role of cost-structure assumptions</w:t>
      </w:r>
    </w:p>
    <w:p w14:paraId="6AAC7FD2" w14:textId="77777777" w:rsidR="00EC561A" w:rsidRPr="00A11F5E" w:rsidRDefault="00EC561A" w:rsidP="00EC561A">
      <w:pPr>
        <w:pStyle w:val="Heading2"/>
      </w:pPr>
      <w:r w:rsidRPr="00A11F5E">
        <w:t>5.3 Scenario discovery: conditions for positive job creation</w:t>
      </w:r>
    </w:p>
    <w:p w14:paraId="79A5FDAB" w14:textId="77777777" w:rsidR="00EC561A" w:rsidRPr="00A11F5E" w:rsidRDefault="00EC561A" w:rsidP="00EC561A">
      <w:pPr>
        <w:pStyle w:val="Heading2"/>
      </w:pPr>
      <w:r w:rsidRPr="00A11F5E">
        <w:t>5.4 Policy-relevant typology</w:t>
      </w:r>
    </w:p>
    <w:p w14:paraId="33A5A6D2" w14:textId="77777777" w:rsidR="00EC561A" w:rsidRPr="00A11F5E" w:rsidRDefault="00EC561A" w:rsidP="00EC561A">
      <w:pPr>
        <w:pStyle w:val="Heading1"/>
      </w:pPr>
      <w:r w:rsidRPr="00A11F5E">
        <w:t>6. Discussion</w:t>
      </w:r>
    </w:p>
    <w:p w14:paraId="74FD908A" w14:textId="77777777" w:rsidR="00EC561A" w:rsidRPr="00A11F5E" w:rsidRDefault="00EC561A" w:rsidP="00EC561A">
      <w:pPr>
        <w:pStyle w:val="Heading2"/>
      </w:pPr>
      <w:r w:rsidRPr="00A11F5E">
        <w:t xml:space="preserve">6.1 What cost-structure levers can governments </w:t>
      </w:r>
      <w:proofErr w:type="gramStart"/>
      <w:r w:rsidRPr="00A11F5E">
        <w:t>actually influence</w:t>
      </w:r>
      <w:proofErr w:type="gramEnd"/>
      <w:r w:rsidRPr="00A11F5E">
        <w:t>?</w:t>
      </w:r>
    </w:p>
    <w:p w14:paraId="0F6C4601" w14:textId="77777777" w:rsidR="00EC561A" w:rsidRPr="00A11F5E" w:rsidRDefault="00EC561A" w:rsidP="00EC561A">
      <w:pPr>
        <w:pStyle w:val="Heading2"/>
      </w:pPr>
      <w:r w:rsidRPr="00A11F5E">
        <w:t>6.2 Implications for CCDR design and climate strategy</w:t>
      </w:r>
    </w:p>
    <w:p w14:paraId="2925E424" w14:textId="77777777" w:rsidR="00EC561A" w:rsidRPr="00A11F5E" w:rsidRDefault="00EC561A" w:rsidP="00EC561A">
      <w:pPr>
        <w:pStyle w:val="Heading2"/>
      </w:pPr>
      <w:r w:rsidRPr="00A11F5E">
        <w:t xml:space="preserve">6.3 Relationship </w:t>
      </w:r>
      <w:proofErr w:type="gramStart"/>
      <w:r w:rsidRPr="00A11F5E">
        <w:t>to</w:t>
      </w:r>
      <w:proofErr w:type="gramEnd"/>
      <w:r w:rsidRPr="00A11F5E">
        <w:t xml:space="preserve"> prior literature</w:t>
      </w:r>
    </w:p>
    <w:p w14:paraId="52DB74DF" w14:textId="77777777" w:rsidR="00EC561A" w:rsidRPr="00A11F5E" w:rsidRDefault="00EC561A" w:rsidP="00EC561A">
      <w:pPr>
        <w:pStyle w:val="Heading2"/>
      </w:pPr>
      <w:r w:rsidRPr="00A11F5E">
        <w:t>6.4 Limitations</w:t>
      </w:r>
    </w:p>
    <w:p w14:paraId="2E3573D7" w14:textId="77777777" w:rsidR="00EC561A" w:rsidRPr="00A11F5E" w:rsidRDefault="00EC561A" w:rsidP="00EC561A">
      <w:pPr>
        <w:pStyle w:val="Heading1"/>
      </w:pPr>
      <w:r w:rsidRPr="00A11F5E">
        <w:t>7. Conclusions</w:t>
      </w:r>
    </w:p>
    <w:p w14:paraId="21316FE9" w14:textId="77777777" w:rsidR="00EC561A" w:rsidRPr="00A11F5E" w:rsidRDefault="00EC561A" w:rsidP="00EC561A">
      <w:pPr>
        <w:pStyle w:val="Heading1"/>
      </w:pPr>
      <w:r w:rsidRPr="00A11F5E">
        <w:t>Reference</w:t>
      </w:r>
    </w:p>
    <w:p w14:paraId="3825B81D" w14:textId="77777777" w:rsidR="00303F39" w:rsidRPr="004C1C57" w:rsidRDefault="00303F39" w:rsidP="00303F39">
      <w:pPr>
        <w:jc w:val="both"/>
        <w:rPr>
          <w:rFonts w:ascii="Times New Roman" w:hAnsi="Times New Roman" w:cs="Times New Roman"/>
          <w:sz w:val="22"/>
          <w:szCs w:val="22"/>
        </w:rPr>
      </w:pPr>
      <w:r w:rsidRPr="001E4BAC">
        <w:rPr>
          <w:rFonts w:ascii="Times New Roman" w:hAnsi="Times New Roman" w:cs="Times New Roman"/>
          <w:sz w:val="22"/>
          <w:szCs w:val="22"/>
        </w:rPr>
        <w:t xml:space="preserve">Agan, B., &amp; </w:t>
      </w:r>
      <w:proofErr w:type="spellStart"/>
      <w:r w:rsidRPr="001E4BAC">
        <w:rPr>
          <w:rFonts w:ascii="Times New Roman" w:hAnsi="Times New Roman" w:cs="Times New Roman"/>
          <w:sz w:val="22"/>
          <w:szCs w:val="22"/>
        </w:rPr>
        <w:t>Balcilar</w:t>
      </w:r>
      <w:proofErr w:type="spellEnd"/>
      <w:r w:rsidRPr="001E4BAC">
        <w:rPr>
          <w:rFonts w:ascii="Times New Roman" w:hAnsi="Times New Roman" w:cs="Times New Roman"/>
          <w:sz w:val="22"/>
          <w:szCs w:val="22"/>
        </w:rPr>
        <w:t>, M. (2022). On the determinants of green technology diffusion: An empirical analysis of economic, social, political, and environmental factors. </w:t>
      </w:r>
      <w:r w:rsidRPr="001E4BAC">
        <w:rPr>
          <w:rFonts w:ascii="Times New Roman" w:hAnsi="Times New Roman" w:cs="Times New Roman"/>
          <w:i/>
          <w:iCs/>
          <w:sz w:val="22"/>
          <w:szCs w:val="22"/>
        </w:rPr>
        <w:t>Sustainability</w:t>
      </w:r>
      <w:r w:rsidRPr="001E4BAC">
        <w:rPr>
          <w:rFonts w:ascii="Times New Roman" w:hAnsi="Times New Roman" w:cs="Times New Roman"/>
          <w:sz w:val="22"/>
          <w:szCs w:val="22"/>
        </w:rPr>
        <w:t>, </w:t>
      </w:r>
      <w:r w:rsidRPr="001E4BAC">
        <w:rPr>
          <w:rFonts w:ascii="Times New Roman" w:hAnsi="Times New Roman" w:cs="Times New Roman"/>
          <w:i/>
          <w:iCs/>
          <w:sz w:val="22"/>
          <w:szCs w:val="22"/>
        </w:rPr>
        <w:t>14</w:t>
      </w:r>
      <w:r w:rsidRPr="001E4BAC">
        <w:rPr>
          <w:rFonts w:ascii="Times New Roman" w:hAnsi="Times New Roman" w:cs="Times New Roman"/>
          <w:sz w:val="22"/>
          <w:szCs w:val="22"/>
        </w:rPr>
        <w:t>(4), 2008.</w:t>
      </w:r>
    </w:p>
    <w:p w14:paraId="1A1505A8" w14:textId="77777777" w:rsidR="00303F39" w:rsidRDefault="00303F39" w:rsidP="00303F39">
      <w:pPr>
        <w:jc w:val="both"/>
        <w:rPr>
          <w:rFonts w:ascii="Times New Roman" w:hAnsi="Times New Roman" w:cs="Times New Roman"/>
          <w:sz w:val="22"/>
          <w:szCs w:val="22"/>
        </w:rPr>
      </w:pPr>
      <w:proofErr w:type="spellStart"/>
      <w:r w:rsidRPr="00303F39">
        <w:rPr>
          <w:rFonts w:ascii="Times New Roman" w:hAnsi="Times New Roman" w:cs="Times New Roman"/>
          <w:sz w:val="22"/>
          <w:szCs w:val="22"/>
        </w:rPr>
        <w:t>Akcigit</w:t>
      </w:r>
      <w:proofErr w:type="spellEnd"/>
      <w:r w:rsidRPr="00303F39">
        <w:rPr>
          <w:rFonts w:ascii="Times New Roman" w:hAnsi="Times New Roman" w:cs="Times New Roman"/>
          <w:sz w:val="22"/>
          <w:szCs w:val="22"/>
        </w:rPr>
        <w:t xml:space="preserve">, U., Benedetti Fasil, C., </w:t>
      </w:r>
      <w:proofErr w:type="spellStart"/>
      <w:r w:rsidRPr="00303F39">
        <w:rPr>
          <w:rFonts w:ascii="Times New Roman" w:hAnsi="Times New Roman" w:cs="Times New Roman"/>
          <w:sz w:val="22"/>
          <w:szCs w:val="22"/>
        </w:rPr>
        <w:t>Impullitti</w:t>
      </w:r>
      <w:proofErr w:type="spellEnd"/>
      <w:r w:rsidRPr="00303F39">
        <w:rPr>
          <w:rFonts w:ascii="Times New Roman" w:hAnsi="Times New Roman" w:cs="Times New Roman"/>
          <w:sz w:val="22"/>
          <w:szCs w:val="22"/>
        </w:rPr>
        <w:t xml:space="preserve">, G., </w:t>
      </w:r>
      <w:proofErr w:type="spellStart"/>
      <w:r w:rsidRPr="00303F39">
        <w:rPr>
          <w:rFonts w:ascii="Times New Roman" w:hAnsi="Times New Roman" w:cs="Times New Roman"/>
          <w:sz w:val="22"/>
          <w:szCs w:val="22"/>
        </w:rPr>
        <w:t>Licandro</w:t>
      </w:r>
      <w:proofErr w:type="spellEnd"/>
      <w:r w:rsidRPr="00303F39">
        <w:rPr>
          <w:rFonts w:ascii="Times New Roman" w:hAnsi="Times New Roman" w:cs="Times New Roman"/>
          <w:sz w:val="22"/>
          <w:szCs w:val="22"/>
        </w:rPr>
        <w:t>, O., &amp; Sanchez-Martinez, M. (2022). </w:t>
      </w:r>
      <w:r w:rsidRPr="005E1C49">
        <w:rPr>
          <w:rFonts w:ascii="Times New Roman" w:hAnsi="Times New Roman" w:cs="Times New Roman"/>
          <w:i/>
          <w:iCs/>
          <w:sz w:val="22"/>
          <w:szCs w:val="22"/>
        </w:rPr>
        <w:t>Macroeconomic modelling of R&amp;D and Innovation policies</w:t>
      </w:r>
      <w:r w:rsidRPr="005E1C49">
        <w:rPr>
          <w:rFonts w:ascii="Times New Roman" w:hAnsi="Times New Roman" w:cs="Times New Roman"/>
          <w:sz w:val="22"/>
          <w:szCs w:val="22"/>
        </w:rPr>
        <w:t> (p. 212). Springer Nature.</w:t>
      </w:r>
    </w:p>
    <w:p w14:paraId="3386BEB2" w14:textId="77777777" w:rsidR="00303F39" w:rsidRDefault="00303F39" w:rsidP="00303F39">
      <w:pPr>
        <w:jc w:val="both"/>
        <w:rPr>
          <w:rFonts w:ascii="Times New Roman" w:hAnsi="Times New Roman" w:cs="Times New Roman"/>
          <w:sz w:val="22"/>
          <w:szCs w:val="22"/>
        </w:rPr>
      </w:pPr>
      <w:proofErr w:type="spellStart"/>
      <w:r w:rsidRPr="00544C58">
        <w:rPr>
          <w:rFonts w:ascii="Times New Roman" w:hAnsi="Times New Roman" w:cs="Times New Roman"/>
          <w:sz w:val="22"/>
          <w:szCs w:val="22"/>
        </w:rPr>
        <w:lastRenderedPageBreak/>
        <w:t>Alexandri</w:t>
      </w:r>
      <w:proofErr w:type="spellEnd"/>
      <w:r w:rsidRPr="00544C58">
        <w:rPr>
          <w:rFonts w:ascii="Times New Roman" w:hAnsi="Times New Roman" w:cs="Times New Roman"/>
          <w:sz w:val="22"/>
          <w:szCs w:val="22"/>
        </w:rPr>
        <w:t xml:space="preserve">, E., Antón, J. I., &amp; </w:t>
      </w:r>
      <w:proofErr w:type="spellStart"/>
      <w:r w:rsidRPr="00544C58">
        <w:rPr>
          <w:rFonts w:ascii="Times New Roman" w:hAnsi="Times New Roman" w:cs="Times New Roman"/>
          <w:sz w:val="22"/>
          <w:szCs w:val="22"/>
        </w:rPr>
        <w:t>Lewney</w:t>
      </w:r>
      <w:proofErr w:type="spellEnd"/>
      <w:r w:rsidRPr="00544C58">
        <w:rPr>
          <w:rFonts w:ascii="Times New Roman" w:hAnsi="Times New Roman" w:cs="Times New Roman"/>
          <w:sz w:val="22"/>
          <w:szCs w:val="22"/>
        </w:rPr>
        <w:t xml:space="preserve">, R. (2024). The impact of climate change mitigation policies on European </w:t>
      </w:r>
      <w:proofErr w:type="spellStart"/>
      <w:r w:rsidRPr="00544C58">
        <w:rPr>
          <w:rFonts w:ascii="Times New Roman" w:hAnsi="Times New Roman" w:cs="Times New Roman"/>
          <w:sz w:val="22"/>
          <w:szCs w:val="22"/>
        </w:rPr>
        <w:t>labour</w:t>
      </w:r>
      <w:proofErr w:type="spellEnd"/>
      <w:r w:rsidRPr="00544C58">
        <w:rPr>
          <w:rFonts w:ascii="Times New Roman" w:hAnsi="Times New Roman" w:cs="Times New Roman"/>
          <w:sz w:val="22"/>
          <w:szCs w:val="22"/>
        </w:rPr>
        <w:t xml:space="preserve"> markets. </w:t>
      </w:r>
      <w:r w:rsidRPr="00544C58">
        <w:rPr>
          <w:rFonts w:ascii="Times New Roman" w:hAnsi="Times New Roman" w:cs="Times New Roman"/>
          <w:i/>
          <w:iCs/>
          <w:sz w:val="22"/>
          <w:szCs w:val="22"/>
        </w:rPr>
        <w:t>Ecological Economics</w:t>
      </w:r>
      <w:r w:rsidRPr="00544C58">
        <w:rPr>
          <w:rFonts w:ascii="Times New Roman" w:hAnsi="Times New Roman" w:cs="Times New Roman"/>
          <w:sz w:val="22"/>
          <w:szCs w:val="22"/>
        </w:rPr>
        <w:t>, </w:t>
      </w:r>
      <w:r w:rsidRPr="00544C58">
        <w:rPr>
          <w:rFonts w:ascii="Times New Roman" w:hAnsi="Times New Roman" w:cs="Times New Roman"/>
          <w:i/>
          <w:iCs/>
          <w:sz w:val="22"/>
          <w:szCs w:val="22"/>
        </w:rPr>
        <w:t>216</w:t>
      </w:r>
      <w:r w:rsidRPr="00544C58">
        <w:rPr>
          <w:rFonts w:ascii="Times New Roman" w:hAnsi="Times New Roman" w:cs="Times New Roman"/>
          <w:sz w:val="22"/>
          <w:szCs w:val="22"/>
        </w:rPr>
        <w:t>, 108022.</w:t>
      </w:r>
    </w:p>
    <w:p w14:paraId="534E8323" w14:textId="77777777" w:rsidR="00303F39" w:rsidRDefault="00303F39" w:rsidP="00303F39">
      <w:pPr>
        <w:jc w:val="both"/>
        <w:rPr>
          <w:rFonts w:ascii="Times New Roman" w:hAnsi="Times New Roman" w:cs="Times New Roman"/>
          <w:sz w:val="22"/>
          <w:szCs w:val="22"/>
        </w:rPr>
      </w:pPr>
      <w:r w:rsidRPr="007E3EBA">
        <w:rPr>
          <w:rFonts w:ascii="Times New Roman" w:hAnsi="Times New Roman" w:cs="Times New Roman"/>
          <w:sz w:val="22"/>
          <w:szCs w:val="22"/>
        </w:rPr>
        <w:t xml:space="preserve">Bakry, W., Mallik, G., Nghiem, X. H., Sinha, A., &amp; Vo, X. V. (2023). Is green finance </w:t>
      </w:r>
      <w:proofErr w:type="gramStart"/>
      <w:r w:rsidRPr="007E3EBA">
        <w:rPr>
          <w:rFonts w:ascii="Times New Roman" w:hAnsi="Times New Roman" w:cs="Times New Roman"/>
          <w:sz w:val="22"/>
          <w:szCs w:val="22"/>
        </w:rPr>
        <w:t>really “green”</w:t>
      </w:r>
      <w:proofErr w:type="gramEnd"/>
      <w:r w:rsidRPr="007E3EBA">
        <w:rPr>
          <w:rFonts w:ascii="Times New Roman" w:hAnsi="Times New Roman" w:cs="Times New Roman"/>
          <w:sz w:val="22"/>
          <w:szCs w:val="22"/>
        </w:rPr>
        <w:t>? Examining the long-run relationship between green finance, renewable energy and environmental performance in developing countries. </w:t>
      </w:r>
      <w:r w:rsidRPr="007E3EBA">
        <w:rPr>
          <w:rFonts w:ascii="Times New Roman" w:hAnsi="Times New Roman" w:cs="Times New Roman"/>
          <w:i/>
          <w:iCs/>
          <w:sz w:val="22"/>
          <w:szCs w:val="22"/>
        </w:rPr>
        <w:t>Renewable Energy</w:t>
      </w:r>
      <w:r w:rsidRPr="007E3EBA">
        <w:rPr>
          <w:rFonts w:ascii="Times New Roman" w:hAnsi="Times New Roman" w:cs="Times New Roman"/>
          <w:sz w:val="22"/>
          <w:szCs w:val="22"/>
        </w:rPr>
        <w:t>, </w:t>
      </w:r>
      <w:r w:rsidRPr="007E3EBA">
        <w:rPr>
          <w:rFonts w:ascii="Times New Roman" w:hAnsi="Times New Roman" w:cs="Times New Roman"/>
          <w:i/>
          <w:iCs/>
          <w:sz w:val="22"/>
          <w:szCs w:val="22"/>
        </w:rPr>
        <w:t>208</w:t>
      </w:r>
      <w:r w:rsidRPr="007E3EBA">
        <w:rPr>
          <w:rFonts w:ascii="Times New Roman" w:hAnsi="Times New Roman" w:cs="Times New Roman"/>
          <w:sz w:val="22"/>
          <w:szCs w:val="22"/>
        </w:rPr>
        <w:t>, 341-355.</w:t>
      </w:r>
    </w:p>
    <w:p w14:paraId="0609B2B4" w14:textId="77777777" w:rsidR="00303F39" w:rsidRDefault="00303F39" w:rsidP="00303F39">
      <w:pPr>
        <w:jc w:val="both"/>
        <w:rPr>
          <w:rFonts w:ascii="Times New Roman" w:hAnsi="Times New Roman" w:cs="Times New Roman"/>
          <w:sz w:val="22"/>
          <w:szCs w:val="22"/>
        </w:rPr>
      </w:pPr>
      <w:r w:rsidRPr="00FC21F8">
        <w:rPr>
          <w:rFonts w:ascii="Times New Roman" w:hAnsi="Times New Roman" w:cs="Times New Roman"/>
          <w:sz w:val="22"/>
          <w:szCs w:val="22"/>
        </w:rPr>
        <w:t>Bolarinwa, T. A. (2024). Computable General Equilibrium (CGE) Models: A comprehensive review and future directions. </w:t>
      </w:r>
      <w:r w:rsidRPr="00FC21F8">
        <w:rPr>
          <w:rFonts w:ascii="Times New Roman" w:hAnsi="Times New Roman" w:cs="Times New Roman"/>
          <w:i/>
          <w:iCs/>
          <w:sz w:val="22"/>
          <w:szCs w:val="22"/>
        </w:rPr>
        <w:t>Management and Economics Review</w:t>
      </w:r>
      <w:r w:rsidRPr="00FC21F8">
        <w:rPr>
          <w:rFonts w:ascii="Times New Roman" w:hAnsi="Times New Roman" w:cs="Times New Roman"/>
          <w:sz w:val="22"/>
          <w:szCs w:val="22"/>
        </w:rPr>
        <w:t>, </w:t>
      </w:r>
      <w:r w:rsidRPr="00FC21F8">
        <w:rPr>
          <w:rFonts w:ascii="Times New Roman" w:hAnsi="Times New Roman" w:cs="Times New Roman"/>
          <w:i/>
          <w:iCs/>
          <w:sz w:val="22"/>
          <w:szCs w:val="22"/>
        </w:rPr>
        <w:t>9</w:t>
      </w:r>
      <w:r w:rsidRPr="00FC21F8">
        <w:rPr>
          <w:rFonts w:ascii="Times New Roman" w:hAnsi="Times New Roman" w:cs="Times New Roman"/>
          <w:sz w:val="22"/>
          <w:szCs w:val="22"/>
        </w:rPr>
        <w:t>(1), 158-167.</w:t>
      </w:r>
    </w:p>
    <w:p w14:paraId="3D1966D4" w14:textId="77777777" w:rsidR="00303F39" w:rsidRDefault="00303F39" w:rsidP="00303F39">
      <w:pPr>
        <w:jc w:val="both"/>
        <w:rPr>
          <w:rFonts w:ascii="Times New Roman" w:hAnsi="Times New Roman" w:cs="Times New Roman"/>
          <w:sz w:val="22"/>
          <w:szCs w:val="22"/>
        </w:rPr>
      </w:pPr>
      <w:r w:rsidRPr="002E4CE0">
        <w:rPr>
          <w:rFonts w:ascii="Times New Roman" w:hAnsi="Times New Roman" w:cs="Times New Roman"/>
          <w:sz w:val="22"/>
          <w:szCs w:val="22"/>
        </w:rPr>
        <w:t>Bücker, J., del Rio-Chanona, R. M., Pichler, A., Ives, M. C., &amp; Farmer, J. D. (2025). Employment dynamics in a rapid decarbonization of the US power sector. </w:t>
      </w:r>
      <w:r w:rsidRPr="002E4CE0">
        <w:rPr>
          <w:rFonts w:ascii="Times New Roman" w:hAnsi="Times New Roman" w:cs="Times New Roman"/>
          <w:i/>
          <w:iCs/>
          <w:sz w:val="22"/>
          <w:szCs w:val="22"/>
        </w:rPr>
        <w:t>Joule</w:t>
      </w:r>
      <w:r w:rsidRPr="002E4CE0">
        <w:rPr>
          <w:rFonts w:ascii="Times New Roman" w:hAnsi="Times New Roman" w:cs="Times New Roman"/>
          <w:sz w:val="22"/>
          <w:szCs w:val="22"/>
        </w:rPr>
        <w:t>, </w:t>
      </w:r>
      <w:r w:rsidRPr="002E4CE0">
        <w:rPr>
          <w:rFonts w:ascii="Times New Roman" w:hAnsi="Times New Roman" w:cs="Times New Roman"/>
          <w:i/>
          <w:iCs/>
          <w:sz w:val="22"/>
          <w:szCs w:val="22"/>
        </w:rPr>
        <w:t>9</w:t>
      </w:r>
      <w:r w:rsidRPr="002E4CE0">
        <w:rPr>
          <w:rFonts w:ascii="Times New Roman" w:hAnsi="Times New Roman" w:cs="Times New Roman"/>
          <w:sz w:val="22"/>
          <w:szCs w:val="22"/>
        </w:rPr>
        <w:t>(2).</w:t>
      </w:r>
    </w:p>
    <w:p w14:paraId="128A98C7" w14:textId="77777777" w:rsidR="00303F39" w:rsidRDefault="00303F39" w:rsidP="00303F39">
      <w:pPr>
        <w:jc w:val="both"/>
        <w:rPr>
          <w:rFonts w:ascii="Times New Roman" w:hAnsi="Times New Roman" w:cs="Times New Roman"/>
          <w:sz w:val="22"/>
          <w:szCs w:val="22"/>
        </w:rPr>
      </w:pPr>
      <w:proofErr w:type="spellStart"/>
      <w:r w:rsidRPr="00DE76CF">
        <w:rPr>
          <w:rFonts w:ascii="Times New Roman" w:hAnsi="Times New Roman" w:cs="Times New Roman"/>
          <w:sz w:val="22"/>
          <w:szCs w:val="22"/>
        </w:rPr>
        <w:t>Bulavskaya</w:t>
      </w:r>
      <w:proofErr w:type="spellEnd"/>
      <w:r w:rsidRPr="00DE76CF">
        <w:rPr>
          <w:rFonts w:ascii="Times New Roman" w:hAnsi="Times New Roman" w:cs="Times New Roman"/>
          <w:sz w:val="22"/>
          <w:szCs w:val="22"/>
        </w:rPr>
        <w:t xml:space="preserve">, T., &amp; </w:t>
      </w:r>
      <w:proofErr w:type="spellStart"/>
      <w:r w:rsidRPr="00DE76CF">
        <w:rPr>
          <w:rFonts w:ascii="Times New Roman" w:hAnsi="Times New Roman" w:cs="Times New Roman"/>
          <w:sz w:val="22"/>
          <w:szCs w:val="22"/>
        </w:rPr>
        <w:t>Reynès</w:t>
      </w:r>
      <w:proofErr w:type="spellEnd"/>
      <w:r w:rsidRPr="00DE76CF">
        <w:rPr>
          <w:rFonts w:ascii="Times New Roman" w:hAnsi="Times New Roman" w:cs="Times New Roman"/>
          <w:sz w:val="22"/>
          <w:szCs w:val="22"/>
        </w:rPr>
        <w:t>, F. (2018). Job creation and economic impact of renewable energy in the Netherlands. </w:t>
      </w:r>
      <w:r w:rsidRPr="00DE76CF">
        <w:rPr>
          <w:rFonts w:ascii="Times New Roman" w:hAnsi="Times New Roman" w:cs="Times New Roman"/>
          <w:i/>
          <w:iCs/>
          <w:sz w:val="22"/>
          <w:szCs w:val="22"/>
        </w:rPr>
        <w:t>Renewable energy</w:t>
      </w:r>
      <w:r w:rsidRPr="00DE76CF">
        <w:rPr>
          <w:rFonts w:ascii="Times New Roman" w:hAnsi="Times New Roman" w:cs="Times New Roman"/>
          <w:sz w:val="22"/>
          <w:szCs w:val="22"/>
        </w:rPr>
        <w:t>, </w:t>
      </w:r>
      <w:r w:rsidRPr="00DE76CF">
        <w:rPr>
          <w:rFonts w:ascii="Times New Roman" w:hAnsi="Times New Roman" w:cs="Times New Roman"/>
          <w:i/>
          <w:iCs/>
          <w:sz w:val="22"/>
          <w:szCs w:val="22"/>
        </w:rPr>
        <w:t>119</w:t>
      </w:r>
      <w:r w:rsidRPr="00DE76CF">
        <w:rPr>
          <w:rFonts w:ascii="Times New Roman" w:hAnsi="Times New Roman" w:cs="Times New Roman"/>
          <w:sz w:val="22"/>
          <w:szCs w:val="22"/>
        </w:rPr>
        <w:t>, 528-538.</w:t>
      </w:r>
      <w:r w:rsidRPr="002E4CE0">
        <w:rPr>
          <w:rFonts w:ascii="Times New Roman" w:hAnsi="Times New Roman" w:cs="Times New Roman"/>
          <w:sz w:val="22"/>
          <w:szCs w:val="22"/>
        </w:rPr>
        <w:t xml:space="preserve"> </w:t>
      </w:r>
    </w:p>
    <w:p w14:paraId="6A13C1E3" w14:textId="77777777" w:rsidR="00303F39" w:rsidRDefault="00303F39" w:rsidP="00303F39">
      <w:pPr>
        <w:jc w:val="both"/>
        <w:rPr>
          <w:rFonts w:ascii="Times New Roman" w:hAnsi="Times New Roman" w:cs="Times New Roman"/>
          <w:sz w:val="22"/>
          <w:szCs w:val="22"/>
        </w:rPr>
      </w:pPr>
      <w:r w:rsidRPr="006F27D3">
        <w:rPr>
          <w:rFonts w:ascii="Times New Roman" w:hAnsi="Times New Roman" w:cs="Times New Roman"/>
          <w:sz w:val="22"/>
          <w:szCs w:val="22"/>
        </w:rPr>
        <w:t xml:space="preserve">Castellanos, K., &amp; </w:t>
      </w:r>
      <w:proofErr w:type="spellStart"/>
      <w:r w:rsidRPr="006F27D3">
        <w:rPr>
          <w:rFonts w:ascii="Times New Roman" w:hAnsi="Times New Roman" w:cs="Times New Roman"/>
          <w:sz w:val="22"/>
          <w:szCs w:val="22"/>
        </w:rPr>
        <w:t>Heutel</w:t>
      </w:r>
      <w:proofErr w:type="spellEnd"/>
      <w:r w:rsidRPr="006F27D3">
        <w:rPr>
          <w:rFonts w:ascii="Times New Roman" w:hAnsi="Times New Roman" w:cs="Times New Roman"/>
          <w:sz w:val="22"/>
          <w:szCs w:val="22"/>
        </w:rPr>
        <w:t>, G. (2024). Unemployment, labor mobility, and climate policy. </w:t>
      </w:r>
      <w:r w:rsidRPr="006F27D3">
        <w:rPr>
          <w:rFonts w:ascii="Times New Roman" w:hAnsi="Times New Roman" w:cs="Times New Roman"/>
          <w:i/>
          <w:iCs/>
          <w:sz w:val="22"/>
          <w:szCs w:val="22"/>
        </w:rPr>
        <w:t>Journal of the Association of Environmental and Resource Economists</w:t>
      </w:r>
      <w:r w:rsidRPr="006F27D3">
        <w:rPr>
          <w:rFonts w:ascii="Times New Roman" w:hAnsi="Times New Roman" w:cs="Times New Roman"/>
          <w:sz w:val="22"/>
          <w:szCs w:val="22"/>
        </w:rPr>
        <w:t>, </w:t>
      </w:r>
      <w:r w:rsidRPr="006F27D3">
        <w:rPr>
          <w:rFonts w:ascii="Times New Roman" w:hAnsi="Times New Roman" w:cs="Times New Roman"/>
          <w:i/>
          <w:iCs/>
          <w:sz w:val="22"/>
          <w:szCs w:val="22"/>
        </w:rPr>
        <w:t>11</w:t>
      </w:r>
      <w:r w:rsidRPr="006F27D3">
        <w:rPr>
          <w:rFonts w:ascii="Times New Roman" w:hAnsi="Times New Roman" w:cs="Times New Roman"/>
          <w:sz w:val="22"/>
          <w:szCs w:val="22"/>
        </w:rPr>
        <w:t>(1), 1-40.</w:t>
      </w:r>
    </w:p>
    <w:p w14:paraId="13021921" w14:textId="77777777" w:rsidR="00303F39" w:rsidRDefault="00303F39" w:rsidP="00303F39">
      <w:pPr>
        <w:jc w:val="both"/>
        <w:rPr>
          <w:rFonts w:ascii="Times New Roman" w:hAnsi="Times New Roman" w:cs="Times New Roman"/>
          <w:sz w:val="22"/>
          <w:szCs w:val="22"/>
        </w:rPr>
      </w:pPr>
      <w:r w:rsidRPr="00606019">
        <w:rPr>
          <w:rFonts w:ascii="Times New Roman" w:hAnsi="Times New Roman" w:cs="Times New Roman"/>
          <w:sz w:val="22"/>
          <w:szCs w:val="22"/>
        </w:rPr>
        <w:t>Černý, M., Bruckner, M., Weinzettel, J., Wiebe, K., Kimmich, C., Kerschner, C., &amp; Hubacek, K. (2021). Employment effects of the renewable energy transition in the electricity sector: An input-output approach. </w:t>
      </w:r>
      <w:r w:rsidRPr="00606019">
        <w:rPr>
          <w:rFonts w:ascii="Times New Roman" w:hAnsi="Times New Roman" w:cs="Times New Roman"/>
          <w:i/>
          <w:iCs/>
          <w:sz w:val="22"/>
          <w:szCs w:val="22"/>
        </w:rPr>
        <w:t>ETUI Research Paper-Working Paper</w:t>
      </w:r>
      <w:r w:rsidRPr="00606019">
        <w:rPr>
          <w:rFonts w:ascii="Times New Roman" w:hAnsi="Times New Roman" w:cs="Times New Roman"/>
          <w:sz w:val="22"/>
          <w:szCs w:val="22"/>
        </w:rPr>
        <w:t>.</w:t>
      </w:r>
    </w:p>
    <w:p w14:paraId="528ABD89" w14:textId="77777777" w:rsidR="00303F39" w:rsidRDefault="00303F39" w:rsidP="00303F39">
      <w:pPr>
        <w:jc w:val="both"/>
        <w:rPr>
          <w:rFonts w:ascii="Times New Roman" w:hAnsi="Times New Roman" w:cs="Times New Roman"/>
          <w:sz w:val="22"/>
          <w:szCs w:val="22"/>
        </w:rPr>
      </w:pPr>
      <w:r w:rsidRPr="004C1C57">
        <w:rPr>
          <w:rFonts w:ascii="Times New Roman" w:hAnsi="Times New Roman" w:cs="Times New Roman"/>
          <w:sz w:val="22"/>
          <w:szCs w:val="22"/>
        </w:rPr>
        <w:t xml:space="preserve">Chateau, J., Bibas, R., &amp; Lanzi, E. (2018). </w:t>
      </w:r>
      <w:r w:rsidRPr="00606A71">
        <w:rPr>
          <w:rFonts w:ascii="Times New Roman" w:hAnsi="Times New Roman" w:cs="Times New Roman"/>
          <w:sz w:val="22"/>
          <w:szCs w:val="22"/>
        </w:rPr>
        <w:t xml:space="preserve">Impacts of green growth policies on </w:t>
      </w:r>
      <w:proofErr w:type="spellStart"/>
      <w:r w:rsidRPr="00606A71">
        <w:rPr>
          <w:rFonts w:ascii="Times New Roman" w:hAnsi="Times New Roman" w:cs="Times New Roman"/>
          <w:sz w:val="22"/>
          <w:szCs w:val="22"/>
        </w:rPr>
        <w:t>labour</w:t>
      </w:r>
      <w:proofErr w:type="spellEnd"/>
      <w:r w:rsidRPr="00606A71">
        <w:rPr>
          <w:rFonts w:ascii="Times New Roman" w:hAnsi="Times New Roman" w:cs="Times New Roman"/>
          <w:sz w:val="22"/>
          <w:szCs w:val="22"/>
        </w:rPr>
        <w:t xml:space="preserve"> markets and wage income distribution: a general equilibrium application to climate and energy policies.</w:t>
      </w:r>
    </w:p>
    <w:p w14:paraId="2F96139A" w14:textId="77777777" w:rsidR="00303F39" w:rsidRPr="004C1C57" w:rsidRDefault="00303F39" w:rsidP="00303F39">
      <w:pPr>
        <w:jc w:val="both"/>
        <w:rPr>
          <w:rFonts w:ascii="Times New Roman" w:hAnsi="Times New Roman" w:cs="Times New Roman"/>
          <w:sz w:val="22"/>
          <w:szCs w:val="22"/>
          <w:lang w:val="pt-BR"/>
        </w:rPr>
      </w:pPr>
      <w:r w:rsidRPr="00DE76CF">
        <w:rPr>
          <w:rFonts w:ascii="Times New Roman" w:hAnsi="Times New Roman" w:cs="Times New Roman"/>
          <w:sz w:val="22"/>
          <w:szCs w:val="22"/>
          <w:lang w:val="pt-BR"/>
        </w:rPr>
        <w:t>Econometrics, C. (2022). E3me model manual. </w:t>
      </w:r>
      <w:r w:rsidRPr="004C1C57">
        <w:rPr>
          <w:rFonts w:ascii="Times New Roman" w:hAnsi="Times New Roman" w:cs="Times New Roman"/>
          <w:i/>
          <w:iCs/>
          <w:sz w:val="22"/>
          <w:szCs w:val="22"/>
          <w:lang w:val="pt-BR"/>
        </w:rPr>
        <w:t>Cambridge Econometrics: Cambridge, UK</w:t>
      </w:r>
      <w:r w:rsidRPr="004C1C57">
        <w:rPr>
          <w:rFonts w:ascii="Times New Roman" w:hAnsi="Times New Roman" w:cs="Times New Roman"/>
          <w:sz w:val="22"/>
          <w:szCs w:val="22"/>
          <w:lang w:val="pt-BR"/>
        </w:rPr>
        <w:t>.</w:t>
      </w:r>
    </w:p>
    <w:p w14:paraId="2B7AC4D4" w14:textId="77777777" w:rsidR="00303F39" w:rsidRDefault="00303F39" w:rsidP="00303F39">
      <w:pPr>
        <w:jc w:val="both"/>
        <w:rPr>
          <w:rFonts w:ascii="Times New Roman" w:hAnsi="Times New Roman" w:cs="Times New Roman"/>
          <w:sz w:val="22"/>
          <w:szCs w:val="22"/>
        </w:rPr>
      </w:pPr>
      <w:r w:rsidRPr="004C1C57">
        <w:rPr>
          <w:rFonts w:ascii="Times New Roman" w:hAnsi="Times New Roman" w:cs="Times New Roman"/>
          <w:sz w:val="22"/>
          <w:szCs w:val="22"/>
          <w:lang w:val="pt-BR"/>
        </w:rPr>
        <w:t xml:space="preserve">Fragkos, P., &amp; Fragkiadakis, K. (2022). </w:t>
      </w:r>
      <w:r w:rsidRPr="00606A71">
        <w:rPr>
          <w:rFonts w:ascii="Times New Roman" w:hAnsi="Times New Roman" w:cs="Times New Roman"/>
          <w:sz w:val="22"/>
          <w:szCs w:val="22"/>
        </w:rPr>
        <w:t>Analyzing the macro-economic and employment implications of ambitious mitigation pathways and carbon pricing. </w:t>
      </w:r>
      <w:r w:rsidRPr="00606A71">
        <w:rPr>
          <w:rFonts w:ascii="Times New Roman" w:hAnsi="Times New Roman" w:cs="Times New Roman"/>
          <w:i/>
          <w:iCs/>
          <w:sz w:val="22"/>
          <w:szCs w:val="22"/>
        </w:rPr>
        <w:t>Frontiers in Climate</w:t>
      </w:r>
      <w:r w:rsidRPr="00606A71">
        <w:rPr>
          <w:rFonts w:ascii="Times New Roman" w:hAnsi="Times New Roman" w:cs="Times New Roman"/>
          <w:sz w:val="22"/>
          <w:szCs w:val="22"/>
        </w:rPr>
        <w:t>, </w:t>
      </w:r>
      <w:r w:rsidRPr="00606A71">
        <w:rPr>
          <w:rFonts w:ascii="Times New Roman" w:hAnsi="Times New Roman" w:cs="Times New Roman"/>
          <w:i/>
          <w:iCs/>
          <w:sz w:val="22"/>
          <w:szCs w:val="22"/>
        </w:rPr>
        <w:t>4</w:t>
      </w:r>
      <w:r w:rsidRPr="00606A71">
        <w:rPr>
          <w:rFonts w:ascii="Times New Roman" w:hAnsi="Times New Roman" w:cs="Times New Roman"/>
          <w:sz w:val="22"/>
          <w:szCs w:val="22"/>
        </w:rPr>
        <w:t>, 785136.</w:t>
      </w:r>
    </w:p>
    <w:p w14:paraId="1FDDB03D" w14:textId="77777777" w:rsidR="00303F39" w:rsidRDefault="00303F39" w:rsidP="00303F39">
      <w:pPr>
        <w:jc w:val="both"/>
        <w:rPr>
          <w:rFonts w:ascii="Times New Roman" w:hAnsi="Times New Roman" w:cs="Times New Roman"/>
          <w:sz w:val="22"/>
          <w:szCs w:val="22"/>
        </w:rPr>
      </w:pPr>
      <w:r w:rsidRPr="001B55EE">
        <w:rPr>
          <w:rFonts w:ascii="Times New Roman" w:hAnsi="Times New Roman" w:cs="Times New Roman"/>
          <w:sz w:val="22"/>
          <w:szCs w:val="22"/>
        </w:rPr>
        <w:t xml:space="preserve">Garrett-Peltier, H. (2017). Green versus brown: comparing the employment impacts of energy efficiency, renewable energy, and fossil fuels using an input-output model. Econ. Model. 61, 439–447. </w:t>
      </w:r>
      <w:proofErr w:type="spellStart"/>
      <w:r w:rsidRPr="001B55EE">
        <w:rPr>
          <w:rFonts w:ascii="Times New Roman" w:hAnsi="Times New Roman" w:cs="Times New Roman"/>
          <w:sz w:val="22"/>
          <w:szCs w:val="22"/>
        </w:rPr>
        <w:t>doi</w:t>
      </w:r>
      <w:proofErr w:type="spellEnd"/>
      <w:r w:rsidRPr="001B55EE">
        <w:rPr>
          <w:rFonts w:ascii="Times New Roman" w:hAnsi="Times New Roman" w:cs="Times New Roman"/>
          <w:sz w:val="22"/>
          <w:szCs w:val="22"/>
        </w:rPr>
        <w:t>: 10.1016/j.econmod.2016.11.012</w:t>
      </w:r>
    </w:p>
    <w:p w14:paraId="16BEE8FB" w14:textId="77777777" w:rsidR="00303F39" w:rsidRDefault="00303F39" w:rsidP="00303F39">
      <w:pPr>
        <w:jc w:val="both"/>
        <w:rPr>
          <w:rFonts w:ascii="Times New Roman" w:hAnsi="Times New Roman" w:cs="Times New Roman"/>
          <w:sz w:val="22"/>
          <w:szCs w:val="22"/>
        </w:rPr>
      </w:pPr>
      <w:proofErr w:type="spellStart"/>
      <w:r w:rsidRPr="00EC5B72">
        <w:rPr>
          <w:rFonts w:ascii="Times New Roman" w:hAnsi="Times New Roman" w:cs="Times New Roman"/>
          <w:sz w:val="22"/>
          <w:szCs w:val="22"/>
        </w:rPr>
        <w:t>Hafstead</w:t>
      </w:r>
      <w:proofErr w:type="spellEnd"/>
      <w:r w:rsidRPr="00EC5B72">
        <w:rPr>
          <w:rFonts w:ascii="Times New Roman" w:hAnsi="Times New Roman" w:cs="Times New Roman"/>
          <w:sz w:val="22"/>
          <w:szCs w:val="22"/>
        </w:rPr>
        <w:t>, M. A., Williams III, R. C., &amp; Chen, Y. (2022). Environmental policy, full-employment models, and employment: a critical analysis. </w:t>
      </w:r>
      <w:r w:rsidRPr="00EC5B72">
        <w:rPr>
          <w:rFonts w:ascii="Times New Roman" w:hAnsi="Times New Roman" w:cs="Times New Roman"/>
          <w:i/>
          <w:iCs/>
          <w:sz w:val="22"/>
          <w:szCs w:val="22"/>
        </w:rPr>
        <w:t>Journal of the Association of Environmental and Resource Economists</w:t>
      </w:r>
      <w:r w:rsidRPr="00EC5B72">
        <w:rPr>
          <w:rFonts w:ascii="Times New Roman" w:hAnsi="Times New Roman" w:cs="Times New Roman"/>
          <w:sz w:val="22"/>
          <w:szCs w:val="22"/>
        </w:rPr>
        <w:t>, </w:t>
      </w:r>
      <w:r w:rsidRPr="00EC5B72">
        <w:rPr>
          <w:rFonts w:ascii="Times New Roman" w:hAnsi="Times New Roman" w:cs="Times New Roman"/>
          <w:i/>
          <w:iCs/>
          <w:sz w:val="22"/>
          <w:szCs w:val="22"/>
        </w:rPr>
        <w:t>9</w:t>
      </w:r>
      <w:r w:rsidRPr="00EC5B72">
        <w:rPr>
          <w:rFonts w:ascii="Times New Roman" w:hAnsi="Times New Roman" w:cs="Times New Roman"/>
          <w:sz w:val="22"/>
          <w:szCs w:val="22"/>
        </w:rPr>
        <w:t>(2), 199-234.</w:t>
      </w:r>
    </w:p>
    <w:p w14:paraId="34FCB056" w14:textId="77777777" w:rsidR="00303F39" w:rsidRDefault="00303F39" w:rsidP="00303F39">
      <w:pPr>
        <w:jc w:val="both"/>
        <w:rPr>
          <w:rFonts w:ascii="Times New Roman" w:hAnsi="Times New Roman" w:cs="Times New Roman"/>
          <w:sz w:val="22"/>
          <w:szCs w:val="22"/>
        </w:rPr>
      </w:pPr>
      <w:r w:rsidRPr="008C41B6">
        <w:rPr>
          <w:rFonts w:ascii="Times New Roman" w:hAnsi="Times New Roman" w:cs="Times New Roman"/>
          <w:sz w:val="22"/>
          <w:szCs w:val="22"/>
        </w:rPr>
        <w:t>Hanna, R., Heptonstall, P., &amp; Gross, R. (2024). Job creation in a low carbon transition to renewables and energy efficiency: a review of international evidence. </w:t>
      </w:r>
      <w:r w:rsidRPr="008C41B6">
        <w:rPr>
          <w:rFonts w:ascii="Times New Roman" w:hAnsi="Times New Roman" w:cs="Times New Roman"/>
          <w:i/>
          <w:iCs/>
          <w:sz w:val="22"/>
          <w:szCs w:val="22"/>
        </w:rPr>
        <w:t>Sustainability Science</w:t>
      </w:r>
      <w:r w:rsidRPr="008C41B6">
        <w:rPr>
          <w:rFonts w:ascii="Times New Roman" w:hAnsi="Times New Roman" w:cs="Times New Roman"/>
          <w:sz w:val="22"/>
          <w:szCs w:val="22"/>
        </w:rPr>
        <w:t>, </w:t>
      </w:r>
      <w:r w:rsidRPr="008C41B6">
        <w:rPr>
          <w:rFonts w:ascii="Times New Roman" w:hAnsi="Times New Roman" w:cs="Times New Roman"/>
          <w:i/>
          <w:iCs/>
          <w:sz w:val="22"/>
          <w:szCs w:val="22"/>
        </w:rPr>
        <w:t>19</w:t>
      </w:r>
      <w:r w:rsidRPr="008C41B6">
        <w:rPr>
          <w:rFonts w:ascii="Times New Roman" w:hAnsi="Times New Roman" w:cs="Times New Roman"/>
          <w:sz w:val="22"/>
          <w:szCs w:val="22"/>
        </w:rPr>
        <w:t>(1), 125-150.</w:t>
      </w:r>
    </w:p>
    <w:p w14:paraId="5D05B433" w14:textId="77777777" w:rsidR="00303F39" w:rsidRDefault="00303F39" w:rsidP="00303F39">
      <w:pPr>
        <w:jc w:val="both"/>
        <w:rPr>
          <w:rFonts w:ascii="Times New Roman" w:hAnsi="Times New Roman" w:cs="Times New Roman"/>
          <w:sz w:val="22"/>
          <w:szCs w:val="22"/>
        </w:rPr>
      </w:pPr>
      <w:r w:rsidRPr="00AB7E76">
        <w:rPr>
          <w:rFonts w:ascii="Times New Roman" w:hAnsi="Times New Roman" w:cs="Times New Roman"/>
          <w:sz w:val="22"/>
          <w:szCs w:val="22"/>
        </w:rPr>
        <w:t xml:space="preserve">Jose, S., &amp; Dollinger, J. (2019). </w:t>
      </w:r>
      <w:proofErr w:type="spellStart"/>
      <w:r w:rsidRPr="00AB7E76">
        <w:rPr>
          <w:rFonts w:ascii="Times New Roman" w:hAnsi="Times New Roman" w:cs="Times New Roman"/>
          <w:sz w:val="22"/>
          <w:szCs w:val="22"/>
        </w:rPr>
        <w:t>Silvopasture</w:t>
      </w:r>
      <w:proofErr w:type="spellEnd"/>
      <w:r w:rsidRPr="00AB7E76">
        <w:rPr>
          <w:rFonts w:ascii="Times New Roman" w:hAnsi="Times New Roman" w:cs="Times New Roman"/>
          <w:sz w:val="22"/>
          <w:szCs w:val="22"/>
        </w:rPr>
        <w:t>: a sustainable livestock production system. </w:t>
      </w:r>
      <w:r w:rsidRPr="00AB7E76">
        <w:rPr>
          <w:rFonts w:ascii="Times New Roman" w:hAnsi="Times New Roman" w:cs="Times New Roman"/>
          <w:i/>
          <w:iCs/>
          <w:sz w:val="22"/>
          <w:szCs w:val="22"/>
        </w:rPr>
        <w:t>Agroforestry systems</w:t>
      </w:r>
      <w:r w:rsidRPr="00AB7E76">
        <w:rPr>
          <w:rFonts w:ascii="Times New Roman" w:hAnsi="Times New Roman" w:cs="Times New Roman"/>
          <w:sz w:val="22"/>
          <w:szCs w:val="22"/>
        </w:rPr>
        <w:t>, </w:t>
      </w:r>
      <w:r w:rsidRPr="00AB7E76">
        <w:rPr>
          <w:rFonts w:ascii="Times New Roman" w:hAnsi="Times New Roman" w:cs="Times New Roman"/>
          <w:i/>
          <w:iCs/>
          <w:sz w:val="22"/>
          <w:szCs w:val="22"/>
        </w:rPr>
        <w:t>93</w:t>
      </w:r>
      <w:r w:rsidRPr="00AB7E76">
        <w:rPr>
          <w:rFonts w:ascii="Times New Roman" w:hAnsi="Times New Roman" w:cs="Times New Roman"/>
          <w:sz w:val="22"/>
          <w:szCs w:val="22"/>
        </w:rPr>
        <w:t>(1), 1-9.</w:t>
      </w:r>
    </w:p>
    <w:p w14:paraId="3EDEE404" w14:textId="77777777" w:rsidR="00303F39" w:rsidRDefault="00303F39" w:rsidP="00303F39">
      <w:pPr>
        <w:jc w:val="both"/>
        <w:rPr>
          <w:rFonts w:ascii="Times New Roman" w:hAnsi="Times New Roman" w:cs="Times New Roman"/>
          <w:sz w:val="22"/>
          <w:szCs w:val="22"/>
        </w:rPr>
      </w:pPr>
      <w:r w:rsidRPr="00922635">
        <w:rPr>
          <w:rFonts w:ascii="Times New Roman" w:hAnsi="Times New Roman" w:cs="Times New Roman"/>
          <w:sz w:val="22"/>
          <w:szCs w:val="22"/>
        </w:rPr>
        <w:t>Lehr, U., &amp; Lutz, C. (2019). Macro-econometric and structural models. In </w:t>
      </w:r>
      <w:r w:rsidRPr="00922635">
        <w:rPr>
          <w:rFonts w:ascii="Times New Roman" w:hAnsi="Times New Roman" w:cs="Times New Roman"/>
          <w:i/>
          <w:iCs/>
          <w:sz w:val="22"/>
          <w:szCs w:val="22"/>
        </w:rPr>
        <w:t>Routledge handbook of energy economics</w:t>
      </w:r>
      <w:r w:rsidRPr="00922635">
        <w:rPr>
          <w:rFonts w:ascii="Times New Roman" w:hAnsi="Times New Roman" w:cs="Times New Roman"/>
          <w:sz w:val="22"/>
          <w:szCs w:val="22"/>
        </w:rPr>
        <w:t> (pp. 473-481). Routledge.</w:t>
      </w:r>
    </w:p>
    <w:p w14:paraId="07DE3EFB" w14:textId="77777777" w:rsidR="00303F39" w:rsidRDefault="00303F39" w:rsidP="00303F39">
      <w:pPr>
        <w:jc w:val="both"/>
        <w:rPr>
          <w:rFonts w:ascii="Times New Roman" w:hAnsi="Times New Roman" w:cs="Times New Roman"/>
          <w:sz w:val="22"/>
          <w:szCs w:val="22"/>
        </w:rPr>
      </w:pPr>
      <w:r w:rsidRPr="00982940">
        <w:rPr>
          <w:rFonts w:ascii="Times New Roman" w:hAnsi="Times New Roman" w:cs="Times New Roman"/>
          <w:sz w:val="22"/>
          <w:szCs w:val="22"/>
        </w:rPr>
        <w:t>Miller, R. E., and Blair, P. D. (2022). Input-output analysis: Foundations and extensions.</w:t>
      </w:r>
    </w:p>
    <w:p w14:paraId="7422C845" w14:textId="77777777" w:rsidR="00303F39" w:rsidRDefault="00303F39" w:rsidP="00303F39">
      <w:pPr>
        <w:jc w:val="both"/>
        <w:rPr>
          <w:rFonts w:ascii="Times New Roman" w:hAnsi="Times New Roman" w:cs="Times New Roman"/>
          <w:sz w:val="22"/>
          <w:szCs w:val="22"/>
        </w:rPr>
      </w:pPr>
      <w:r w:rsidRPr="002E4CE0">
        <w:rPr>
          <w:rFonts w:ascii="Times New Roman" w:hAnsi="Times New Roman" w:cs="Times New Roman"/>
          <w:sz w:val="22"/>
          <w:szCs w:val="22"/>
        </w:rPr>
        <w:lastRenderedPageBreak/>
        <w:t>Montt, G., Wiebe, K. S., Harsdorff, M., Simas, M., Bonnet, A., &amp; Wood, R. (2018). Does climate action destroy jobs? An assessment of the employment implications of the 2‐degree goal. </w:t>
      </w:r>
      <w:r w:rsidRPr="002E4CE0">
        <w:rPr>
          <w:rFonts w:ascii="Times New Roman" w:hAnsi="Times New Roman" w:cs="Times New Roman"/>
          <w:i/>
          <w:iCs/>
          <w:sz w:val="22"/>
          <w:szCs w:val="22"/>
        </w:rPr>
        <w:t xml:space="preserve">International </w:t>
      </w:r>
      <w:proofErr w:type="spellStart"/>
      <w:r w:rsidRPr="002E4CE0">
        <w:rPr>
          <w:rFonts w:ascii="Times New Roman" w:hAnsi="Times New Roman" w:cs="Times New Roman"/>
          <w:i/>
          <w:iCs/>
          <w:sz w:val="22"/>
          <w:szCs w:val="22"/>
        </w:rPr>
        <w:t>Labour</w:t>
      </w:r>
      <w:proofErr w:type="spellEnd"/>
      <w:r w:rsidRPr="002E4CE0">
        <w:rPr>
          <w:rFonts w:ascii="Times New Roman" w:hAnsi="Times New Roman" w:cs="Times New Roman"/>
          <w:i/>
          <w:iCs/>
          <w:sz w:val="22"/>
          <w:szCs w:val="22"/>
        </w:rPr>
        <w:t xml:space="preserve"> Review</w:t>
      </w:r>
      <w:r w:rsidRPr="002E4CE0">
        <w:rPr>
          <w:rFonts w:ascii="Times New Roman" w:hAnsi="Times New Roman" w:cs="Times New Roman"/>
          <w:sz w:val="22"/>
          <w:szCs w:val="22"/>
        </w:rPr>
        <w:t>, </w:t>
      </w:r>
      <w:r w:rsidRPr="002E4CE0">
        <w:rPr>
          <w:rFonts w:ascii="Times New Roman" w:hAnsi="Times New Roman" w:cs="Times New Roman"/>
          <w:i/>
          <w:iCs/>
          <w:sz w:val="22"/>
          <w:szCs w:val="22"/>
        </w:rPr>
        <w:t>157</w:t>
      </w:r>
      <w:r w:rsidRPr="002E4CE0">
        <w:rPr>
          <w:rFonts w:ascii="Times New Roman" w:hAnsi="Times New Roman" w:cs="Times New Roman"/>
          <w:sz w:val="22"/>
          <w:szCs w:val="22"/>
        </w:rPr>
        <w:t>(4), 519-556.</w:t>
      </w:r>
    </w:p>
    <w:p w14:paraId="7569FBE5" w14:textId="77777777" w:rsidR="00303F39" w:rsidRDefault="00303F39" w:rsidP="00303F39">
      <w:pPr>
        <w:jc w:val="both"/>
        <w:rPr>
          <w:rFonts w:ascii="Times New Roman" w:hAnsi="Times New Roman" w:cs="Times New Roman"/>
          <w:sz w:val="22"/>
          <w:szCs w:val="22"/>
        </w:rPr>
      </w:pPr>
      <w:r w:rsidRPr="00DB68A7">
        <w:rPr>
          <w:rFonts w:ascii="Times New Roman" w:hAnsi="Times New Roman" w:cs="Times New Roman"/>
          <w:sz w:val="22"/>
          <w:szCs w:val="22"/>
        </w:rPr>
        <w:t xml:space="preserve">O'Callaghan, B., Yau, N., &amp; Hepburn, C. (2022). How stimulating is </w:t>
      </w:r>
      <w:proofErr w:type="gramStart"/>
      <w:r w:rsidRPr="00DB68A7">
        <w:rPr>
          <w:rFonts w:ascii="Times New Roman" w:hAnsi="Times New Roman" w:cs="Times New Roman"/>
          <w:sz w:val="22"/>
          <w:szCs w:val="22"/>
        </w:rPr>
        <w:t>a green</w:t>
      </w:r>
      <w:proofErr w:type="gramEnd"/>
      <w:r w:rsidRPr="00DB68A7">
        <w:rPr>
          <w:rFonts w:ascii="Times New Roman" w:hAnsi="Times New Roman" w:cs="Times New Roman"/>
          <w:sz w:val="22"/>
          <w:szCs w:val="22"/>
        </w:rPr>
        <w:t xml:space="preserve"> stimulus? The economic attributes of green fiscal spending. </w:t>
      </w:r>
      <w:r w:rsidRPr="00DB68A7">
        <w:rPr>
          <w:rFonts w:ascii="Times New Roman" w:hAnsi="Times New Roman" w:cs="Times New Roman"/>
          <w:i/>
          <w:iCs/>
          <w:sz w:val="22"/>
          <w:szCs w:val="22"/>
        </w:rPr>
        <w:t>Annual review of Environment and Resources</w:t>
      </w:r>
      <w:r w:rsidRPr="00DB68A7">
        <w:rPr>
          <w:rFonts w:ascii="Times New Roman" w:hAnsi="Times New Roman" w:cs="Times New Roman"/>
          <w:sz w:val="22"/>
          <w:szCs w:val="22"/>
        </w:rPr>
        <w:t>, </w:t>
      </w:r>
      <w:r w:rsidRPr="00DB68A7">
        <w:rPr>
          <w:rFonts w:ascii="Times New Roman" w:hAnsi="Times New Roman" w:cs="Times New Roman"/>
          <w:i/>
          <w:iCs/>
          <w:sz w:val="22"/>
          <w:szCs w:val="22"/>
        </w:rPr>
        <w:t>47</w:t>
      </w:r>
      <w:r w:rsidRPr="00DB68A7">
        <w:rPr>
          <w:rFonts w:ascii="Times New Roman" w:hAnsi="Times New Roman" w:cs="Times New Roman"/>
          <w:sz w:val="22"/>
          <w:szCs w:val="22"/>
        </w:rPr>
        <w:t>(1), 697-723.</w:t>
      </w:r>
    </w:p>
    <w:p w14:paraId="7DF171B4" w14:textId="77777777" w:rsidR="00303F39" w:rsidRDefault="00303F39" w:rsidP="00303F39">
      <w:pPr>
        <w:jc w:val="both"/>
        <w:rPr>
          <w:rFonts w:ascii="Times New Roman" w:hAnsi="Times New Roman" w:cs="Times New Roman"/>
          <w:sz w:val="22"/>
          <w:szCs w:val="22"/>
        </w:rPr>
      </w:pPr>
      <w:proofErr w:type="spellStart"/>
      <w:r w:rsidRPr="00DE68E1">
        <w:rPr>
          <w:rFonts w:ascii="Times New Roman" w:hAnsi="Times New Roman" w:cs="Times New Roman"/>
          <w:sz w:val="22"/>
          <w:szCs w:val="22"/>
        </w:rPr>
        <w:t>Oosterhaven</w:t>
      </w:r>
      <w:proofErr w:type="spellEnd"/>
      <w:r w:rsidRPr="00DE68E1">
        <w:rPr>
          <w:rFonts w:ascii="Times New Roman" w:hAnsi="Times New Roman" w:cs="Times New Roman"/>
          <w:sz w:val="22"/>
          <w:szCs w:val="22"/>
        </w:rPr>
        <w:t xml:space="preserve">, J., &amp; </w:t>
      </w:r>
      <w:proofErr w:type="spellStart"/>
      <w:r w:rsidRPr="00DE68E1">
        <w:rPr>
          <w:rFonts w:ascii="Times New Roman" w:hAnsi="Times New Roman" w:cs="Times New Roman"/>
          <w:sz w:val="22"/>
          <w:szCs w:val="22"/>
        </w:rPr>
        <w:t>Hewings</w:t>
      </w:r>
      <w:proofErr w:type="spellEnd"/>
      <w:r w:rsidRPr="00DE68E1">
        <w:rPr>
          <w:rFonts w:ascii="Times New Roman" w:hAnsi="Times New Roman" w:cs="Times New Roman"/>
          <w:sz w:val="22"/>
          <w:szCs w:val="22"/>
        </w:rPr>
        <w:t>, G. J. (2021). Interregional input-output models. In </w:t>
      </w:r>
      <w:r w:rsidRPr="00DE68E1">
        <w:rPr>
          <w:rFonts w:ascii="Times New Roman" w:hAnsi="Times New Roman" w:cs="Times New Roman"/>
          <w:i/>
          <w:iCs/>
          <w:sz w:val="22"/>
          <w:szCs w:val="22"/>
        </w:rPr>
        <w:t>Handbook of regional science</w:t>
      </w:r>
      <w:r w:rsidRPr="00DE68E1">
        <w:rPr>
          <w:rFonts w:ascii="Times New Roman" w:hAnsi="Times New Roman" w:cs="Times New Roman"/>
          <w:sz w:val="22"/>
          <w:szCs w:val="22"/>
        </w:rPr>
        <w:t> (pp. 397-423). Berlin, Heidelberg: Springer Berlin Heidelberg.</w:t>
      </w:r>
    </w:p>
    <w:p w14:paraId="32A40DCA" w14:textId="77777777" w:rsidR="00303F39" w:rsidRDefault="00303F39" w:rsidP="00303F39">
      <w:pPr>
        <w:jc w:val="both"/>
        <w:rPr>
          <w:rFonts w:ascii="Times New Roman" w:hAnsi="Times New Roman" w:cs="Times New Roman"/>
          <w:sz w:val="22"/>
          <w:szCs w:val="22"/>
        </w:rPr>
      </w:pPr>
      <w:r w:rsidRPr="00875705">
        <w:rPr>
          <w:rFonts w:ascii="Times New Roman" w:hAnsi="Times New Roman" w:cs="Times New Roman"/>
          <w:sz w:val="22"/>
          <w:szCs w:val="22"/>
        </w:rPr>
        <w:t xml:space="preserve">Ortega M, del Río P, Ruiz P, Nijs W, Politis S. </w:t>
      </w:r>
      <w:proofErr w:type="spellStart"/>
      <w:r w:rsidRPr="00875705">
        <w:rPr>
          <w:rFonts w:ascii="Times New Roman" w:hAnsi="Times New Roman" w:cs="Times New Roman"/>
          <w:sz w:val="22"/>
          <w:szCs w:val="22"/>
        </w:rPr>
        <w:t>Analysing</w:t>
      </w:r>
      <w:proofErr w:type="spellEnd"/>
      <w:r w:rsidRPr="00875705">
        <w:rPr>
          <w:rFonts w:ascii="Times New Roman" w:hAnsi="Times New Roman" w:cs="Times New Roman"/>
          <w:sz w:val="22"/>
          <w:szCs w:val="22"/>
        </w:rPr>
        <w:t xml:space="preserve"> the influence of trade, technology learning and policy on the employment prospects of wind and solar energy deployment: The EU case. Renewable and Sustainable Energy Reviews. 2020 Apr </w:t>
      </w:r>
      <w:proofErr w:type="gramStart"/>
      <w:r w:rsidRPr="00875705">
        <w:rPr>
          <w:rFonts w:ascii="Times New Roman" w:hAnsi="Times New Roman" w:cs="Times New Roman"/>
          <w:sz w:val="22"/>
          <w:szCs w:val="22"/>
        </w:rPr>
        <w:t>1;122:109657</w:t>
      </w:r>
      <w:proofErr w:type="gramEnd"/>
      <w:r w:rsidRPr="00875705">
        <w:rPr>
          <w:rFonts w:ascii="Times New Roman" w:hAnsi="Times New Roman" w:cs="Times New Roman"/>
          <w:sz w:val="22"/>
          <w:szCs w:val="22"/>
        </w:rPr>
        <w:t>.</w:t>
      </w:r>
    </w:p>
    <w:p w14:paraId="5AB1BA8D" w14:textId="77777777" w:rsidR="00303F39" w:rsidRDefault="00303F39" w:rsidP="00303F39">
      <w:pPr>
        <w:jc w:val="both"/>
        <w:rPr>
          <w:rFonts w:ascii="Times New Roman" w:hAnsi="Times New Roman" w:cs="Times New Roman"/>
          <w:sz w:val="22"/>
          <w:szCs w:val="22"/>
        </w:rPr>
      </w:pPr>
      <w:r w:rsidRPr="002E4CE0">
        <w:rPr>
          <w:rFonts w:ascii="Times New Roman" w:hAnsi="Times New Roman" w:cs="Times New Roman"/>
          <w:sz w:val="22"/>
          <w:szCs w:val="22"/>
        </w:rPr>
        <w:t>Pollin, R. (2016). Global green growth for human development. </w:t>
      </w:r>
      <w:r w:rsidRPr="002E4CE0">
        <w:rPr>
          <w:rFonts w:ascii="Times New Roman" w:hAnsi="Times New Roman" w:cs="Times New Roman"/>
          <w:i/>
          <w:iCs/>
          <w:sz w:val="22"/>
          <w:szCs w:val="22"/>
        </w:rPr>
        <w:t>UNDP Human Development Report</w:t>
      </w:r>
      <w:r w:rsidRPr="002E4CE0">
        <w:rPr>
          <w:rFonts w:ascii="Times New Roman" w:hAnsi="Times New Roman" w:cs="Times New Roman"/>
          <w:sz w:val="22"/>
          <w:szCs w:val="22"/>
        </w:rPr>
        <w:t>.</w:t>
      </w:r>
    </w:p>
    <w:p w14:paraId="6F4E8797" w14:textId="77777777" w:rsidR="00303F39" w:rsidRDefault="00303F39" w:rsidP="00303F39">
      <w:pPr>
        <w:jc w:val="both"/>
        <w:rPr>
          <w:rFonts w:ascii="Times New Roman" w:hAnsi="Times New Roman" w:cs="Times New Roman"/>
          <w:sz w:val="22"/>
          <w:szCs w:val="22"/>
        </w:rPr>
      </w:pPr>
      <w:r w:rsidRPr="00606A71">
        <w:rPr>
          <w:rFonts w:ascii="Times New Roman" w:hAnsi="Times New Roman" w:cs="Times New Roman"/>
          <w:sz w:val="22"/>
          <w:szCs w:val="22"/>
        </w:rPr>
        <w:t xml:space="preserve">Pollitt, H., </w:t>
      </w:r>
      <w:proofErr w:type="spellStart"/>
      <w:r w:rsidRPr="00606A71">
        <w:rPr>
          <w:rFonts w:ascii="Times New Roman" w:hAnsi="Times New Roman" w:cs="Times New Roman"/>
          <w:sz w:val="22"/>
          <w:szCs w:val="22"/>
        </w:rPr>
        <w:t>Alexandri</w:t>
      </w:r>
      <w:proofErr w:type="spellEnd"/>
      <w:r w:rsidRPr="00606A71">
        <w:rPr>
          <w:rFonts w:ascii="Times New Roman" w:hAnsi="Times New Roman" w:cs="Times New Roman"/>
          <w:sz w:val="22"/>
          <w:szCs w:val="22"/>
        </w:rPr>
        <w:t xml:space="preserve">, E., </w:t>
      </w:r>
      <w:proofErr w:type="spellStart"/>
      <w:r w:rsidRPr="00606A71">
        <w:rPr>
          <w:rFonts w:ascii="Times New Roman" w:hAnsi="Times New Roman" w:cs="Times New Roman"/>
          <w:sz w:val="22"/>
          <w:szCs w:val="22"/>
        </w:rPr>
        <w:t>Chewpreecha</w:t>
      </w:r>
      <w:proofErr w:type="spellEnd"/>
      <w:r w:rsidRPr="00606A71">
        <w:rPr>
          <w:rFonts w:ascii="Times New Roman" w:hAnsi="Times New Roman" w:cs="Times New Roman"/>
          <w:sz w:val="22"/>
          <w:szCs w:val="22"/>
        </w:rPr>
        <w:t>, U., &amp; Klaassen, G. (2015). Macroeconomic analysis of the employment impacts of future EU climate policies. </w:t>
      </w:r>
      <w:r w:rsidRPr="00606A71">
        <w:rPr>
          <w:rFonts w:ascii="Times New Roman" w:hAnsi="Times New Roman" w:cs="Times New Roman"/>
          <w:i/>
          <w:iCs/>
          <w:sz w:val="22"/>
          <w:szCs w:val="22"/>
        </w:rPr>
        <w:t>Climate Policy</w:t>
      </w:r>
      <w:r w:rsidRPr="00606A71">
        <w:rPr>
          <w:rFonts w:ascii="Times New Roman" w:hAnsi="Times New Roman" w:cs="Times New Roman"/>
          <w:sz w:val="22"/>
          <w:szCs w:val="22"/>
        </w:rPr>
        <w:t>, </w:t>
      </w:r>
      <w:r w:rsidRPr="00606A71">
        <w:rPr>
          <w:rFonts w:ascii="Times New Roman" w:hAnsi="Times New Roman" w:cs="Times New Roman"/>
          <w:i/>
          <w:iCs/>
          <w:sz w:val="22"/>
          <w:szCs w:val="22"/>
        </w:rPr>
        <w:t>15</w:t>
      </w:r>
      <w:r w:rsidRPr="00606A71">
        <w:rPr>
          <w:rFonts w:ascii="Times New Roman" w:hAnsi="Times New Roman" w:cs="Times New Roman"/>
          <w:sz w:val="22"/>
          <w:szCs w:val="22"/>
        </w:rPr>
        <w:t>(5), 604-625.</w:t>
      </w:r>
    </w:p>
    <w:p w14:paraId="32B499ED" w14:textId="77777777" w:rsidR="00303F39" w:rsidRDefault="00303F39" w:rsidP="00303F39">
      <w:pPr>
        <w:jc w:val="both"/>
        <w:rPr>
          <w:rFonts w:ascii="Times New Roman" w:hAnsi="Times New Roman" w:cs="Times New Roman"/>
          <w:sz w:val="22"/>
          <w:szCs w:val="22"/>
        </w:rPr>
      </w:pPr>
      <w:r w:rsidRPr="007E3EBA">
        <w:rPr>
          <w:rFonts w:ascii="Times New Roman" w:hAnsi="Times New Roman" w:cs="Times New Roman"/>
          <w:sz w:val="22"/>
          <w:szCs w:val="22"/>
        </w:rPr>
        <w:t>Liu, Y., Salman, A., Khan, K., Mahmood, C. K., Ramos-Meza, C. S., Jain, V., &amp; Shabbir, M. S. (2025). The effect of green energy production, green technological innovation, green international trade, on ecological footprints. </w:t>
      </w:r>
      <w:r w:rsidRPr="007E3EBA">
        <w:rPr>
          <w:rFonts w:ascii="Times New Roman" w:hAnsi="Times New Roman" w:cs="Times New Roman"/>
          <w:i/>
          <w:iCs/>
          <w:sz w:val="22"/>
          <w:szCs w:val="22"/>
        </w:rPr>
        <w:t>Environment, Development and Sustainability</w:t>
      </w:r>
      <w:r w:rsidRPr="007E3EBA">
        <w:rPr>
          <w:rFonts w:ascii="Times New Roman" w:hAnsi="Times New Roman" w:cs="Times New Roman"/>
          <w:sz w:val="22"/>
          <w:szCs w:val="22"/>
        </w:rPr>
        <w:t>, </w:t>
      </w:r>
      <w:r w:rsidRPr="007E3EBA">
        <w:rPr>
          <w:rFonts w:ascii="Times New Roman" w:hAnsi="Times New Roman" w:cs="Times New Roman"/>
          <w:i/>
          <w:iCs/>
          <w:sz w:val="22"/>
          <w:szCs w:val="22"/>
        </w:rPr>
        <w:t>27</w:t>
      </w:r>
      <w:r w:rsidRPr="007E3EBA">
        <w:rPr>
          <w:rFonts w:ascii="Times New Roman" w:hAnsi="Times New Roman" w:cs="Times New Roman"/>
          <w:sz w:val="22"/>
          <w:szCs w:val="22"/>
        </w:rPr>
        <w:t>(9), 20985-20998.</w:t>
      </w:r>
    </w:p>
    <w:p w14:paraId="5581EC7E" w14:textId="77777777" w:rsidR="00303F39" w:rsidRPr="004C1C57" w:rsidRDefault="00303F39" w:rsidP="00303F39">
      <w:pPr>
        <w:jc w:val="both"/>
        <w:rPr>
          <w:rFonts w:ascii="Times New Roman" w:hAnsi="Times New Roman" w:cs="Times New Roman"/>
          <w:sz w:val="22"/>
          <w:szCs w:val="22"/>
        </w:rPr>
      </w:pPr>
      <w:r w:rsidRPr="007E3EBA">
        <w:rPr>
          <w:rFonts w:ascii="Times New Roman" w:hAnsi="Times New Roman" w:cs="Times New Roman"/>
          <w:sz w:val="22"/>
          <w:szCs w:val="22"/>
        </w:rPr>
        <w:t>Ram, M., Aghahosseini, A., &amp; Breyer, C. (2020). Job creation during the global energy transition towards 100% renewable power system by 2050. </w:t>
      </w:r>
      <w:r w:rsidRPr="007E3EBA">
        <w:rPr>
          <w:rFonts w:ascii="Times New Roman" w:hAnsi="Times New Roman" w:cs="Times New Roman"/>
          <w:i/>
          <w:iCs/>
          <w:sz w:val="22"/>
          <w:szCs w:val="22"/>
        </w:rPr>
        <w:t>Technological Forecasting and Social Change</w:t>
      </w:r>
      <w:r w:rsidRPr="007E3EBA">
        <w:rPr>
          <w:rFonts w:ascii="Times New Roman" w:hAnsi="Times New Roman" w:cs="Times New Roman"/>
          <w:sz w:val="22"/>
          <w:szCs w:val="22"/>
        </w:rPr>
        <w:t>, </w:t>
      </w:r>
      <w:r w:rsidRPr="007E3EBA">
        <w:rPr>
          <w:rFonts w:ascii="Times New Roman" w:hAnsi="Times New Roman" w:cs="Times New Roman"/>
          <w:i/>
          <w:iCs/>
          <w:sz w:val="22"/>
          <w:szCs w:val="22"/>
        </w:rPr>
        <w:t>151</w:t>
      </w:r>
      <w:r w:rsidRPr="007E3EBA">
        <w:rPr>
          <w:rFonts w:ascii="Times New Roman" w:hAnsi="Times New Roman" w:cs="Times New Roman"/>
          <w:sz w:val="22"/>
          <w:szCs w:val="22"/>
        </w:rPr>
        <w:t>, 119682.</w:t>
      </w:r>
    </w:p>
    <w:p w14:paraId="60849B39" w14:textId="78601DA7" w:rsidR="00EC561A" w:rsidRDefault="00303F39" w:rsidP="00EC561A">
      <w:pPr>
        <w:jc w:val="both"/>
        <w:rPr>
          <w:rFonts w:ascii="Times New Roman" w:hAnsi="Times New Roman" w:cs="Times New Roman"/>
          <w:sz w:val="22"/>
          <w:szCs w:val="22"/>
        </w:rPr>
      </w:pPr>
      <w:r w:rsidRPr="004C1C57">
        <w:rPr>
          <w:rFonts w:ascii="Times New Roman" w:hAnsi="Times New Roman" w:cs="Times New Roman"/>
          <w:sz w:val="22"/>
          <w:szCs w:val="22"/>
        </w:rPr>
        <w:t xml:space="preserve">San Miguel, G., </w:t>
      </w:r>
      <w:proofErr w:type="spellStart"/>
      <w:r w:rsidRPr="004C1C57">
        <w:rPr>
          <w:rFonts w:ascii="Times New Roman" w:hAnsi="Times New Roman" w:cs="Times New Roman"/>
          <w:sz w:val="22"/>
          <w:szCs w:val="22"/>
        </w:rPr>
        <w:t>Bañales</w:t>
      </w:r>
      <w:proofErr w:type="spellEnd"/>
      <w:r w:rsidRPr="004C1C57">
        <w:rPr>
          <w:rFonts w:ascii="Times New Roman" w:hAnsi="Times New Roman" w:cs="Times New Roman"/>
          <w:sz w:val="22"/>
          <w:szCs w:val="22"/>
        </w:rPr>
        <w:t xml:space="preserve">, B. M., Ruiz, D., Álvarez, S., Pérez, J., &amp; Arredondo, M. T. (2024). </w:t>
      </w:r>
      <w:r w:rsidRPr="006341DA">
        <w:rPr>
          <w:rFonts w:ascii="Times New Roman" w:hAnsi="Times New Roman" w:cs="Times New Roman"/>
          <w:sz w:val="22"/>
          <w:szCs w:val="22"/>
        </w:rPr>
        <w:t>Carbon footprint and employment generation produced by ICT networks for Internet deployment: A multi-regional input-output analysis. </w:t>
      </w:r>
      <w:r w:rsidRPr="006341DA">
        <w:rPr>
          <w:rFonts w:ascii="Times New Roman" w:hAnsi="Times New Roman" w:cs="Times New Roman"/>
          <w:i/>
          <w:iCs/>
          <w:sz w:val="22"/>
          <w:szCs w:val="22"/>
        </w:rPr>
        <w:t>Science of the Total Environment</w:t>
      </w:r>
      <w:r w:rsidRPr="006341DA">
        <w:rPr>
          <w:rFonts w:ascii="Times New Roman" w:hAnsi="Times New Roman" w:cs="Times New Roman"/>
          <w:sz w:val="22"/>
          <w:szCs w:val="22"/>
        </w:rPr>
        <w:t>, </w:t>
      </w:r>
      <w:r w:rsidRPr="006341DA">
        <w:rPr>
          <w:rFonts w:ascii="Times New Roman" w:hAnsi="Times New Roman" w:cs="Times New Roman"/>
          <w:i/>
          <w:iCs/>
          <w:sz w:val="22"/>
          <w:szCs w:val="22"/>
        </w:rPr>
        <w:t>914</w:t>
      </w:r>
      <w:r w:rsidRPr="006341DA">
        <w:rPr>
          <w:rFonts w:ascii="Times New Roman" w:hAnsi="Times New Roman" w:cs="Times New Roman"/>
          <w:sz w:val="22"/>
          <w:szCs w:val="22"/>
        </w:rPr>
        <w:t>, 169776</w:t>
      </w:r>
    </w:p>
    <w:p w14:paraId="0C16BEFD" w14:textId="77777777" w:rsidR="00EC561A" w:rsidRDefault="00EC561A"/>
    <w:sectPr w:rsidR="00EC561A" w:rsidSect="00EC56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06E7E" w14:textId="77777777" w:rsidR="00AC3B76" w:rsidRDefault="00AC3B76" w:rsidP="00EC561A">
      <w:pPr>
        <w:spacing w:after="0" w:line="240" w:lineRule="auto"/>
      </w:pPr>
      <w:r>
        <w:separator/>
      </w:r>
    </w:p>
  </w:endnote>
  <w:endnote w:type="continuationSeparator" w:id="0">
    <w:p w14:paraId="51A373FD" w14:textId="77777777" w:rsidR="00AC3B76" w:rsidRDefault="00AC3B76" w:rsidP="00EC5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566EA" w14:textId="77777777" w:rsidR="00AC3B76" w:rsidRDefault="00AC3B76" w:rsidP="00EC561A">
      <w:pPr>
        <w:spacing w:after="0" w:line="240" w:lineRule="auto"/>
      </w:pPr>
      <w:r>
        <w:separator/>
      </w:r>
    </w:p>
  </w:footnote>
  <w:footnote w:type="continuationSeparator" w:id="0">
    <w:p w14:paraId="0774A68C" w14:textId="77777777" w:rsidR="00AC3B76" w:rsidRDefault="00AC3B76" w:rsidP="00EC561A">
      <w:pPr>
        <w:spacing w:after="0" w:line="240" w:lineRule="auto"/>
      </w:pPr>
      <w:r>
        <w:continuationSeparator/>
      </w:r>
    </w:p>
  </w:footnote>
  <w:footnote w:id="1">
    <w:p w14:paraId="5A43D0FE" w14:textId="77777777" w:rsidR="00EC561A" w:rsidRPr="0030742D" w:rsidRDefault="00EC561A" w:rsidP="00EC561A">
      <w:pPr>
        <w:pStyle w:val="FootnoteText"/>
        <w:jc w:val="both"/>
        <w:rPr>
          <w:rFonts w:ascii="Times New Roman" w:hAnsi="Times New Roman" w:cs="Times New Roman"/>
        </w:rPr>
      </w:pPr>
      <w:r w:rsidRPr="0030742D">
        <w:rPr>
          <w:rStyle w:val="FootnoteReference"/>
          <w:rFonts w:ascii="Times New Roman" w:hAnsi="Times New Roman" w:cs="Times New Roman"/>
        </w:rPr>
        <w:footnoteRef/>
      </w:r>
      <w:r w:rsidRPr="0030742D">
        <w:rPr>
          <w:rFonts w:ascii="Times New Roman" w:hAnsi="Times New Roman" w:cs="Times New Roman"/>
        </w:rPr>
        <w:t xml:space="preserve"> </w:t>
      </w:r>
      <w:r>
        <w:rPr>
          <w:rFonts w:ascii="Times New Roman" w:hAnsi="Times New Roman" w:cs="Times New Roman"/>
        </w:rPr>
        <w:t xml:space="preserve">Grounded in national accounts and official statistics, </w:t>
      </w:r>
      <w:r w:rsidRPr="0030742D">
        <w:rPr>
          <w:rFonts w:ascii="Times New Roman" w:hAnsi="Times New Roman" w:cs="Times New Roman"/>
        </w:rPr>
        <w:t xml:space="preserve">MRIO </w:t>
      </w:r>
      <w:r>
        <w:rPr>
          <w:rFonts w:ascii="Times New Roman" w:hAnsi="Times New Roman" w:cs="Times New Roman"/>
        </w:rPr>
        <w:t xml:space="preserve">databases (e.g., GLORIA, Eora) are increasingly used for empirical analysis as they provide a time-series of high resolution on interindustry and trade linkages across global supply chains, in addition to </w:t>
      </w:r>
      <w:r w:rsidRPr="00CF0CE3">
        <w:rPr>
          <w:rFonts w:ascii="Times New Roman" w:hAnsi="Times New Roman" w:cs="Times New Roman"/>
        </w:rPr>
        <w:t>environmental</w:t>
      </w:r>
      <w:r>
        <w:rPr>
          <w:rFonts w:ascii="Times New Roman" w:hAnsi="Times New Roman" w:cs="Times New Roman"/>
        </w:rPr>
        <w:t xml:space="preserve"> </w:t>
      </w:r>
      <w:r w:rsidRPr="00CF0CE3">
        <w:rPr>
          <w:rFonts w:ascii="Times New Roman" w:hAnsi="Times New Roman" w:cs="Times New Roman"/>
        </w:rPr>
        <w:t>and socio-economic extensions</w:t>
      </w:r>
      <w:r>
        <w:rPr>
          <w:rFonts w:ascii="Times New Roman" w:hAnsi="Times New Roman" w:cs="Times New Roman"/>
        </w:rPr>
        <w:t>.</w:t>
      </w:r>
    </w:p>
  </w:footnote>
  <w:footnote w:id="2">
    <w:p w14:paraId="76B580B4" w14:textId="77777777" w:rsidR="00EC561A" w:rsidRDefault="00EC561A" w:rsidP="00EC561A">
      <w:pPr>
        <w:pStyle w:val="FootnoteText"/>
        <w:jc w:val="both"/>
      </w:pPr>
      <w:r>
        <w:rPr>
          <w:rStyle w:val="FootnoteReference"/>
        </w:rPr>
        <w:footnoteRef/>
      </w:r>
      <w:r>
        <w:t xml:space="preserve"> </w:t>
      </w:r>
      <w:r>
        <w:rPr>
          <w:rFonts w:ascii="Times New Roman" w:hAnsi="Times New Roman" w:cs="Times New Roman"/>
        </w:rPr>
        <w:t>Because</w:t>
      </w:r>
      <w:r w:rsidRPr="004C00BA">
        <w:rPr>
          <w:rFonts w:ascii="Times New Roman" w:hAnsi="Times New Roman" w:cs="Times New Roman"/>
        </w:rPr>
        <w:t xml:space="preserve"> current IO tables do not explicitly identify </w:t>
      </w:r>
      <w:r>
        <w:rPr>
          <w:rFonts w:ascii="Times New Roman" w:hAnsi="Times New Roman" w:cs="Times New Roman"/>
        </w:rPr>
        <w:t>many</w:t>
      </w:r>
      <w:r w:rsidRPr="004C00BA">
        <w:rPr>
          <w:rFonts w:ascii="Times New Roman" w:hAnsi="Times New Roman" w:cs="Times New Roman"/>
        </w:rPr>
        <w:t xml:space="preserve"> green</w:t>
      </w:r>
      <w:r>
        <w:rPr>
          <w:rFonts w:ascii="Times New Roman" w:hAnsi="Times New Roman" w:cs="Times New Roman"/>
        </w:rPr>
        <w:t xml:space="preserve"> technologies or</w:t>
      </w:r>
      <w:r w:rsidRPr="004C00BA">
        <w:rPr>
          <w:rFonts w:ascii="Times New Roman" w:hAnsi="Times New Roman" w:cs="Times New Roman"/>
        </w:rPr>
        <w:t xml:space="preserve"> </w:t>
      </w:r>
      <w:r>
        <w:rPr>
          <w:rFonts w:ascii="Times New Roman" w:hAnsi="Times New Roman" w:cs="Times New Roman"/>
        </w:rPr>
        <w:t xml:space="preserve">investment </w:t>
      </w:r>
      <w:r w:rsidRPr="004C00BA">
        <w:rPr>
          <w:rFonts w:ascii="Times New Roman" w:hAnsi="Times New Roman" w:cs="Times New Roman"/>
        </w:rPr>
        <w:t xml:space="preserve">activities, such as renewable energy industries (e.g., solar, bioenergy), methodological extensions </w:t>
      </w:r>
      <w:r>
        <w:rPr>
          <w:rFonts w:ascii="Times New Roman" w:hAnsi="Times New Roman" w:cs="Times New Roman"/>
        </w:rPr>
        <w:t xml:space="preserve">typically </w:t>
      </w:r>
      <w:r w:rsidRPr="004C00BA">
        <w:rPr>
          <w:rFonts w:ascii="Times New Roman" w:hAnsi="Times New Roman" w:cs="Times New Roman"/>
        </w:rPr>
        <w:t xml:space="preserve">estimate employment multipliers by </w:t>
      </w:r>
      <w:r>
        <w:rPr>
          <w:rFonts w:ascii="Times New Roman" w:hAnsi="Times New Roman" w:cs="Times New Roman"/>
        </w:rPr>
        <w:t>constructing</w:t>
      </w:r>
      <w:r w:rsidRPr="004C00BA">
        <w:rPr>
          <w:rFonts w:ascii="Times New Roman" w:hAnsi="Times New Roman" w:cs="Times New Roman"/>
        </w:rPr>
        <w:t xml:space="preserve"> weighted average</w:t>
      </w:r>
      <w:r>
        <w:rPr>
          <w:rFonts w:ascii="Times New Roman" w:hAnsi="Times New Roman" w:cs="Times New Roman"/>
        </w:rPr>
        <w:t>s</w:t>
      </w:r>
      <w:r w:rsidRPr="004C00BA">
        <w:rPr>
          <w:rFonts w:ascii="Times New Roman" w:hAnsi="Times New Roman" w:cs="Times New Roman"/>
        </w:rPr>
        <w:t xml:space="preserve"> of </w:t>
      </w:r>
      <w:r>
        <w:rPr>
          <w:rFonts w:ascii="Times New Roman" w:hAnsi="Times New Roman" w:cs="Times New Roman"/>
        </w:rPr>
        <w:t xml:space="preserve">existing </w:t>
      </w:r>
      <w:r w:rsidRPr="004C00BA">
        <w:rPr>
          <w:rFonts w:ascii="Times New Roman" w:hAnsi="Times New Roman" w:cs="Times New Roman"/>
        </w:rPr>
        <w:t xml:space="preserve">industries </w:t>
      </w:r>
      <w:r>
        <w:rPr>
          <w:rFonts w:ascii="Times New Roman" w:hAnsi="Times New Roman" w:cs="Times New Roman"/>
        </w:rPr>
        <w:t>represented in</w:t>
      </w:r>
      <w:r w:rsidRPr="004C00BA">
        <w:rPr>
          <w:rFonts w:ascii="Times New Roman" w:hAnsi="Times New Roman" w:cs="Times New Roman"/>
        </w:rPr>
        <w:t xml:space="preserve"> the I-O tables (Garret-Peltier, 2017; Pollin, 2016). Weights and industries involved usually rely on fixed cost structures from survey data and </w:t>
      </w:r>
      <w:r>
        <w:rPr>
          <w:rFonts w:ascii="Times New Roman" w:hAnsi="Times New Roman" w:cs="Times New Roman"/>
        </w:rPr>
        <w:t xml:space="preserve">the </w:t>
      </w:r>
      <w:r w:rsidRPr="004C00BA">
        <w:rPr>
          <w:rFonts w:ascii="Times New Roman" w:hAnsi="Times New Roman" w:cs="Times New Roman"/>
        </w:rPr>
        <w:t>climate</w:t>
      </w:r>
      <w:r>
        <w:rPr>
          <w:rFonts w:ascii="Times New Roman" w:hAnsi="Times New Roman" w:cs="Times New Roman"/>
        </w:rPr>
        <w:t>-policy</w:t>
      </w:r>
      <w:r w:rsidRPr="004C00BA">
        <w:rPr>
          <w:rFonts w:ascii="Times New Roman" w:hAnsi="Times New Roman" w:cs="Times New Roman"/>
        </w:rPr>
        <w:t xml:space="preserve"> literature.</w:t>
      </w:r>
    </w:p>
  </w:footnote>
  <w:footnote w:id="3">
    <w:p w14:paraId="2C1770D4" w14:textId="77777777" w:rsidR="00EC561A" w:rsidRPr="00397DDC" w:rsidRDefault="00EC561A" w:rsidP="00EC561A">
      <w:pPr>
        <w:pStyle w:val="FootnoteText"/>
        <w:jc w:val="both"/>
        <w:rPr>
          <w:rFonts w:ascii="Times New Roman" w:hAnsi="Times New Roman" w:cs="Times New Roman"/>
        </w:rPr>
      </w:pPr>
      <w:r>
        <w:rPr>
          <w:rStyle w:val="FootnoteReference"/>
        </w:rPr>
        <w:footnoteRef/>
      </w:r>
      <w:r>
        <w:t xml:space="preserve"> </w:t>
      </w:r>
      <w:r w:rsidRPr="00A1172A">
        <w:rPr>
          <w:rFonts w:ascii="Times New Roman" w:hAnsi="Times New Roman" w:cs="Times New Roman"/>
        </w:rPr>
        <w:t xml:space="preserve">In general, </w:t>
      </w:r>
      <w:r w:rsidRPr="00E0760B">
        <w:rPr>
          <w:rFonts w:ascii="Times New Roman" w:hAnsi="Times New Roman" w:cs="Times New Roman"/>
        </w:rPr>
        <w:t>IO model</w:t>
      </w:r>
      <w:r>
        <w:rPr>
          <w:rFonts w:ascii="Times New Roman" w:hAnsi="Times New Roman" w:cs="Times New Roman"/>
        </w:rPr>
        <w:t xml:space="preserve"> results</w:t>
      </w:r>
      <w:r w:rsidRPr="00A1172A">
        <w:rPr>
          <w:rFonts w:ascii="Times New Roman" w:hAnsi="Times New Roman" w:cs="Times New Roman"/>
        </w:rPr>
        <w:t xml:space="preserve"> </w:t>
      </w:r>
      <w:r>
        <w:rPr>
          <w:rFonts w:ascii="Times New Roman" w:hAnsi="Times New Roman" w:cs="Times New Roman"/>
        </w:rPr>
        <w:t>are</w:t>
      </w:r>
      <w:r w:rsidRPr="00A1172A">
        <w:rPr>
          <w:rFonts w:ascii="Times New Roman" w:hAnsi="Times New Roman" w:cs="Times New Roman"/>
        </w:rPr>
        <w:t xml:space="preserve"> better suited to </w:t>
      </w:r>
      <w:r>
        <w:rPr>
          <w:rFonts w:ascii="Times New Roman" w:hAnsi="Times New Roman" w:cs="Times New Roman"/>
        </w:rPr>
        <w:t>analyzing</w:t>
      </w:r>
      <w:r w:rsidRPr="00A1172A">
        <w:rPr>
          <w:rFonts w:ascii="Times New Roman" w:hAnsi="Times New Roman" w:cs="Times New Roman"/>
        </w:rPr>
        <w:t xml:space="preserve"> </w:t>
      </w:r>
      <w:r>
        <w:rPr>
          <w:rFonts w:ascii="Times New Roman" w:hAnsi="Times New Roman" w:cs="Times New Roman"/>
        </w:rPr>
        <w:t xml:space="preserve">short-term </w:t>
      </w:r>
      <w:r w:rsidRPr="00A1172A">
        <w:rPr>
          <w:rFonts w:ascii="Times New Roman" w:hAnsi="Times New Roman" w:cs="Times New Roman"/>
        </w:rPr>
        <w:t>polic</w:t>
      </w:r>
      <w:r>
        <w:rPr>
          <w:rFonts w:ascii="Times New Roman" w:hAnsi="Times New Roman" w:cs="Times New Roman"/>
        </w:rPr>
        <w:t>y impacts because these models have</w:t>
      </w:r>
      <w:r w:rsidRPr="00E0760B">
        <w:rPr>
          <w:rFonts w:ascii="Times New Roman" w:hAnsi="Times New Roman" w:cs="Times New Roman"/>
        </w:rPr>
        <w:t xml:space="preserve"> limited ability to </w:t>
      </w:r>
      <w:r>
        <w:rPr>
          <w:rFonts w:ascii="Times New Roman" w:hAnsi="Times New Roman" w:cs="Times New Roman"/>
        </w:rPr>
        <w:t>capture</w:t>
      </w:r>
      <w:r w:rsidRPr="00E0760B">
        <w:rPr>
          <w:rFonts w:ascii="Times New Roman" w:hAnsi="Times New Roman" w:cs="Times New Roman"/>
        </w:rPr>
        <w:t xml:space="preserve"> general equilibrium effects (e.g., adjusting wages,</w:t>
      </w:r>
      <w:r>
        <w:rPr>
          <w:rFonts w:ascii="Times New Roman" w:hAnsi="Times New Roman" w:cs="Times New Roman"/>
        </w:rPr>
        <w:t xml:space="preserve"> factor substitution</w:t>
      </w:r>
      <w:r w:rsidRPr="00E0760B">
        <w:rPr>
          <w:rFonts w:ascii="Times New Roman" w:hAnsi="Times New Roman" w:cs="Times New Roman"/>
        </w:rPr>
        <w:t>)</w:t>
      </w:r>
      <w:r>
        <w:rPr>
          <w:rFonts w:ascii="Times New Roman" w:hAnsi="Times New Roman" w:cs="Times New Roman"/>
        </w:rPr>
        <w:t xml:space="preserve"> and for assuming perfectly elastic labor supply, </w:t>
      </w:r>
      <w:r w:rsidRPr="00397DDC">
        <w:rPr>
          <w:rFonts w:ascii="Times New Roman" w:hAnsi="Times New Roman" w:cs="Times New Roman"/>
        </w:rPr>
        <w:t>and often rely on assumptions that become less plausible over the medium to long run</w:t>
      </w:r>
      <w:r>
        <w:rPr>
          <w:rFonts w:ascii="Times New Roman" w:hAnsi="Times New Roman" w:cs="Times New Roman"/>
        </w:rPr>
        <w:t xml:space="preserve"> </w:t>
      </w:r>
      <w:r w:rsidRPr="00E0760B">
        <w:rPr>
          <w:rFonts w:ascii="Times New Roman" w:hAnsi="Times New Roman" w:cs="Times New Roman"/>
        </w:rPr>
        <w:t>(</w:t>
      </w:r>
      <w:r>
        <w:rPr>
          <w:rFonts w:ascii="Times New Roman" w:hAnsi="Times New Roman" w:cs="Times New Roman"/>
        </w:rPr>
        <w:t xml:space="preserve">Mealy et al., 2025; </w:t>
      </w:r>
      <w:proofErr w:type="spellStart"/>
      <w:r>
        <w:rPr>
          <w:rFonts w:ascii="Times New Roman" w:hAnsi="Times New Roman" w:cs="Times New Roman"/>
        </w:rPr>
        <w:t>Oosterhaven</w:t>
      </w:r>
      <w:proofErr w:type="spellEnd"/>
      <w:r>
        <w:rPr>
          <w:rFonts w:ascii="Times New Roman" w:hAnsi="Times New Roman" w:cs="Times New Roman"/>
        </w:rPr>
        <w:t xml:space="preserve"> and </w:t>
      </w:r>
      <w:proofErr w:type="spellStart"/>
      <w:r>
        <w:rPr>
          <w:rFonts w:ascii="Times New Roman" w:hAnsi="Times New Roman" w:cs="Times New Roman"/>
        </w:rPr>
        <w:t>Hewings</w:t>
      </w:r>
      <w:proofErr w:type="spellEnd"/>
      <w:r>
        <w:rPr>
          <w:rFonts w:ascii="Times New Roman" w:hAnsi="Times New Roman" w:cs="Times New Roman"/>
        </w:rPr>
        <w:t>, 2021</w:t>
      </w:r>
      <w:r w:rsidRPr="00E0760B">
        <w:rPr>
          <w:rFonts w:ascii="Times New Roman" w:hAnsi="Times New Roman" w:cs="Times New Roman"/>
        </w:rPr>
        <w:t>)</w:t>
      </w:r>
      <w:r>
        <w:rPr>
          <w:rFonts w:ascii="Times New Roman" w:hAnsi="Times New Roman" w:cs="Times New Rom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61A"/>
    <w:rsid w:val="00040552"/>
    <w:rsid w:val="0008350C"/>
    <w:rsid w:val="000C661C"/>
    <w:rsid w:val="000E7EC7"/>
    <w:rsid w:val="001414DE"/>
    <w:rsid w:val="00184B9B"/>
    <w:rsid w:val="001F2959"/>
    <w:rsid w:val="002A146B"/>
    <w:rsid w:val="00303F39"/>
    <w:rsid w:val="00366B86"/>
    <w:rsid w:val="004B3808"/>
    <w:rsid w:val="00565CAE"/>
    <w:rsid w:val="00620380"/>
    <w:rsid w:val="00790308"/>
    <w:rsid w:val="007D6D9A"/>
    <w:rsid w:val="008C73F9"/>
    <w:rsid w:val="009D329E"/>
    <w:rsid w:val="00AC3B76"/>
    <w:rsid w:val="00B23B3E"/>
    <w:rsid w:val="00BC1BDC"/>
    <w:rsid w:val="00C231C7"/>
    <w:rsid w:val="00E2366A"/>
    <w:rsid w:val="00E703A6"/>
    <w:rsid w:val="00EC561A"/>
    <w:rsid w:val="00F12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85F48"/>
  <w15:chartTrackingRefBased/>
  <w15:docId w15:val="{F19ED1A3-FAEB-4498-AAEE-244050A3E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61A"/>
  </w:style>
  <w:style w:type="paragraph" w:styleId="Heading1">
    <w:name w:val="heading 1"/>
    <w:basedOn w:val="Normal"/>
    <w:next w:val="Normal"/>
    <w:link w:val="Heading1Char"/>
    <w:uiPriority w:val="9"/>
    <w:qFormat/>
    <w:rsid w:val="00EC5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5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5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61A"/>
    <w:rPr>
      <w:rFonts w:eastAsiaTheme="majorEastAsia" w:cstheme="majorBidi"/>
      <w:color w:val="272727" w:themeColor="text1" w:themeTint="D8"/>
    </w:rPr>
  </w:style>
  <w:style w:type="paragraph" w:styleId="Title">
    <w:name w:val="Title"/>
    <w:basedOn w:val="Normal"/>
    <w:next w:val="Normal"/>
    <w:link w:val="TitleChar"/>
    <w:uiPriority w:val="10"/>
    <w:qFormat/>
    <w:rsid w:val="00EC5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61A"/>
    <w:pPr>
      <w:spacing w:before="160"/>
      <w:jc w:val="center"/>
    </w:pPr>
    <w:rPr>
      <w:i/>
      <w:iCs/>
      <w:color w:val="404040" w:themeColor="text1" w:themeTint="BF"/>
    </w:rPr>
  </w:style>
  <w:style w:type="character" w:customStyle="1" w:styleId="QuoteChar">
    <w:name w:val="Quote Char"/>
    <w:basedOn w:val="DefaultParagraphFont"/>
    <w:link w:val="Quote"/>
    <w:uiPriority w:val="29"/>
    <w:rsid w:val="00EC561A"/>
    <w:rPr>
      <w:i/>
      <w:iCs/>
      <w:color w:val="404040" w:themeColor="text1" w:themeTint="BF"/>
    </w:rPr>
  </w:style>
  <w:style w:type="paragraph" w:styleId="ListParagraph">
    <w:name w:val="List Paragraph"/>
    <w:basedOn w:val="Normal"/>
    <w:uiPriority w:val="34"/>
    <w:qFormat/>
    <w:rsid w:val="00EC561A"/>
    <w:pPr>
      <w:ind w:left="720"/>
      <w:contextualSpacing/>
    </w:pPr>
  </w:style>
  <w:style w:type="character" w:styleId="IntenseEmphasis">
    <w:name w:val="Intense Emphasis"/>
    <w:basedOn w:val="DefaultParagraphFont"/>
    <w:uiPriority w:val="21"/>
    <w:qFormat/>
    <w:rsid w:val="00EC561A"/>
    <w:rPr>
      <w:i/>
      <w:iCs/>
      <w:color w:val="0F4761" w:themeColor="accent1" w:themeShade="BF"/>
    </w:rPr>
  </w:style>
  <w:style w:type="paragraph" w:styleId="IntenseQuote">
    <w:name w:val="Intense Quote"/>
    <w:basedOn w:val="Normal"/>
    <w:next w:val="Normal"/>
    <w:link w:val="IntenseQuoteChar"/>
    <w:uiPriority w:val="30"/>
    <w:qFormat/>
    <w:rsid w:val="00EC5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61A"/>
    <w:rPr>
      <w:i/>
      <w:iCs/>
      <w:color w:val="0F4761" w:themeColor="accent1" w:themeShade="BF"/>
    </w:rPr>
  </w:style>
  <w:style w:type="character" w:styleId="IntenseReference">
    <w:name w:val="Intense Reference"/>
    <w:basedOn w:val="DefaultParagraphFont"/>
    <w:uiPriority w:val="32"/>
    <w:qFormat/>
    <w:rsid w:val="00EC561A"/>
    <w:rPr>
      <w:b/>
      <w:bCs/>
      <w:smallCaps/>
      <w:color w:val="0F4761" w:themeColor="accent1" w:themeShade="BF"/>
      <w:spacing w:val="5"/>
    </w:rPr>
  </w:style>
  <w:style w:type="paragraph" w:styleId="FootnoteText">
    <w:name w:val="footnote text"/>
    <w:basedOn w:val="Normal"/>
    <w:link w:val="FootnoteTextChar"/>
    <w:uiPriority w:val="99"/>
    <w:unhideWhenUsed/>
    <w:rsid w:val="00EC561A"/>
    <w:pPr>
      <w:spacing w:after="0" w:line="240" w:lineRule="auto"/>
    </w:pPr>
    <w:rPr>
      <w:sz w:val="20"/>
      <w:szCs w:val="20"/>
    </w:rPr>
  </w:style>
  <w:style w:type="character" w:customStyle="1" w:styleId="FootnoteTextChar">
    <w:name w:val="Footnote Text Char"/>
    <w:basedOn w:val="DefaultParagraphFont"/>
    <w:link w:val="FootnoteText"/>
    <w:uiPriority w:val="99"/>
    <w:rsid w:val="00EC561A"/>
    <w:rPr>
      <w:sz w:val="20"/>
      <w:szCs w:val="20"/>
    </w:rPr>
  </w:style>
  <w:style w:type="character" w:styleId="FootnoteReference">
    <w:name w:val="footnote reference"/>
    <w:basedOn w:val="DefaultParagraphFont"/>
    <w:uiPriority w:val="99"/>
    <w:semiHidden/>
    <w:unhideWhenUsed/>
    <w:rsid w:val="00EC56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975c20-18d4-40c9-811f-0d8ea387c6ea}" enabled="0" method="" siteId="{78975c20-18d4-40c9-811f-0d8ea387c6ea}" removed="1"/>
</clbl:labelList>
</file>

<file path=docProps/app.xml><?xml version="1.0" encoding="utf-8"?>
<Properties xmlns="http://schemas.openxmlformats.org/officeDocument/2006/extended-properties" xmlns:vt="http://schemas.openxmlformats.org/officeDocument/2006/docPropsVTypes">
  <Template>Normal</Template>
  <TotalTime>82</TotalTime>
  <Pages>7</Pages>
  <Words>2466</Words>
  <Characters>14059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Esteves</dc:creator>
  <cp:keywords/>
  <dc:description/>
  <cp:lastModifiedBy>Fernando Esteves</cp:lastModifiedBy>
  <cp:revision>16</cp:revision>
  <dcterms:created xsi:type="dcterms:W3CDTF">2026-05-12T00:24:00Z</dcterms:created>
  <dcterms:modified xsi:type="dcterms:W3CDTF">2026-06-16T02:05:00Z</dcterms:modified>
</cp:coreProperties>
</file>