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80828" w14:textId="77777777" w:rsidR="007D2514" w:rsidRPr="00C01ED0" w:rsidRDefault="007D2514" w:rsidP="00EA7942">
      <w:pPr>
        <w:spacing w:after="0" w:line="276" w:lineRule="auto"/>
        <w:rPr>
          <w:rFonts w:cs="Times New Roman"/>
        </w:rPr>
      </w:pPr>
    </w:p>
    <w:p w14:paraId="510DC1A5" w14:textId="77777777" w:rsidR="007D2514" w:rsidRPr="00C01ED0" w:rsidRDefault="007D2514" w:rsidP="00EA7942">
      <w:pPr>
        <w:spacing w:after="0" w:line="276" w:lineRule="auto"/>
        <w:rPr>
          <w:rFonts w:cs="Times New Roman"/>
        </w:rPr>
      </w:pPr>
    </w:p>
    <w:p w14:paraId="17CAABFD" w14:textId="77777777" w:rsidR="007D2514" w:rsidRPr="00C01ED0" w:rsidRDefault="007D2514" w:rsidP="00EA7942">
      <w:pPr>
        <w:spacing w:after="0" w:line="276" w:lineRule="auto"/>
        <w:rPr>
          <w:rFonts w:cs="Times New Roman"/>
        </w:rPr>
      </w:pPr>
    </w:p>
    <w:p w14:paraId="5534C29B" w14:textId="77777777" w:rsidR="007D2514" w:rsidRPr="00C01ED0" w:rsidRDefault="007D2514" w:rsidP="00EA7942">
      <w:pPr>
        <w:spacing w:after="0" w:line="276" w:lineRule="auto"/>
        <w:rPr>
          <w:rFonts w:cs="Times New Roman"/>
        </w:rPr>
      </w:pPr>
    </w:p>
    <w:p w14:paraId="0D87BED4" w14:textId="772C4DB0" w:rsidR="00255329" w:rsidRPr="00C01ED0" w:rsidRDefault="00930873" w:rsidP="00EA7942">
      <w:pPr>
        <w:spacing w:after="480" w:line="276" w:lineRule="auto"/>
        <w:jc w:val="center"/>
        <w:rPr>
          <w:rFonts w:cs="Times New Roman"/>
          <w:b/>
          <w:sz w:val="32"/>
        </w:rPr>
      </w:pPr>
      <w:r w:rsidRPr="00930873">
        <w:rPr>
          <w:rFonts w:cs="Times New Roman"/>
          <w:b/>
          <w:sz w:val="32"/>
        </w:rPr>
        <w:t>Climate Investment and Employment Creation:</w:t>
      </w:r>
      <w:r w:rsidR="00255329" w:rsidRPr="00C01ED0">
        <w:rPr>
          <w:rFonts w:cs="Times New Roman"/>
          <w:b/>
          <w:sz w:val="32"/>
        </w:rPr>
        <w:t xml:space="preserve"> </w:t>
      </w:r>
    </w:p>
    <w:p w14:paraId="641A88E7" w14:textId="44790673" w:rsidR="007D2514" w:rsidRPr="00C01ED0" w:rsidRDefault="008D0E67" w:rsidP="00EA7942">
      <w:pPr>
        <w:spacing w:after="480" w:line="276" w:lineRule="auto"/>
        <w:jc w:val="center"/>
        <w:rPr>
          <w:rFonts w:cs="Times New Roman"/>
        </w:rPr>
      </w:pPr>
      <w:r w:rsidRPr="008D0E67">
        <w:rPr>
          <w:rFonts w:cs="Times New Roman"/>
          <w:b/>
          <w:sz w:val="32"/>
        </w:rPr>
        <w:t>A Case Study of Morocco</w:t>
      </w:r>
    </w:p>
    <w:p w14:paraId="6902E287" w14:textId="77777777" w:rsidR="007D2514" w:rsidRPr="00C01ED0" w:rsidRDefault="00000000" w:rsidP="00EA7942">
      <w:pPr>
        <w:spacing w:line="276" w:lineRule="auto"/>
        <w:jc w:val="center"/>
        <w:rPr>
          <w:rFonts w:cs="Times New Roman"/>
        </w:rPr>
      </w:pPr>
      <w:r w:rsidRPr="00C01ED0">
        <w:rPr>
          <w:rFonts w:cs="Times New Roman"/>
          <w:sz w:val="28"/>
        </w:rPr>
        <w:t>Fernando Esteves</w:t>
      </w:r>
    </w:p>
    <w:p w14:paraId="2EB9425D" w14:textId="09DC1A9A" w:rsidR="007D2514" w:rsidRPr="00C01ED0" w:rsidRDefault="00000000" w:rsidP="00EA7942">
      <w:pPr>
        <w:spacing w:line="276" w:lineRule="auto"/>
        <w:jc w:val="center"/>
        <w:rPr>
          <w:rFonts w:cs="Times New Roman"/>
        </w:rPr>
      </w:pPr>
      <w:r w:rsidRPr="00C01ED0">
        <w:rPr>
          <w:rFonts w:cs="Times New Roman"/>
        </w:rPr>
        <w:t>RAND School</w:t>
      </w:r>
      <w:r w:rsidR="004E2E59" w:rsidRPr="00C01ED0">
        <w:rPr>
          <w:rFonts w:cs="Times New Roman"/>
        </w:rPr>
        <w:t xml:space="preserve"> of Public Policy</w:t>
      </w:r>
    </w:p>
    <w:p w14:paraId="1433C427" w14:textId="16DE24B3" w:rsidR="007D2514" w:rsidRPr="00C01ED0" w:rsidRDefault="00611478" w:rsidP="00EA7942">
      <w:pPr>
        <w:spacing w:line="276" w:lineRule="auto"/>
        <w:jc w:val="center"/>
        <w:rPr>
          <w:rFonts w:cs="Times New Roman"/>
        </w:rPr>
      </w:pPr>
      <w:r>
        <w:rPr>
          <w:rFonts w:cs="Times New Roman"/>
          <w:i/>
        </w:rPr>
        <w:t>3</w:t>
      </w:r>
      <w:r w:rsidRPr="00611478">
        <w:rPr>
          <w:rFonts w:cs="Times New Roman"/>
          <w:i/>
          <w:vertAlign w:val="superscript"/>
        </w:rPr>
        <w:t>rd</w:t>
      </w:r>
      <w:r>
        <w:rPr>
          <w:rFonts w:cs="Times New Roman"/>
          <w:i/>
        </w:rPr>
        <w:t xml:space="preserve"> </w:t>
      </w:r>
      <w:r w:rsidR="00ED66F0" w:rsidRPr="00C01ED0">
        <w:rPr>
          <w:rFonts w:cs="Times New Roman"/>
          <w:i/>
        </w:rPr>
        <w:t>Dissertation Paper</w:t>
      </w:r>
      <w:r w:rsidR="00E90510" w:rsidRPr="00C01ED0">
        <w:rPr>
          <w:rFonts w:cs="Times New Roman"/>
          <w:i/>
        </w:rPr>
        <w:t xml:space="preserve"> </w:t>
      </w:r>
      <w:r w:rsidR="00ED66F0" w:rsidRPr="00C01ED0">
        <w:rPr>
          <w:rFonts w:cs="Times New Roman"/>
          <w:i/>
        </w:rPr>
        <w:t>(draft)</w:t>
      </w:r>
    </w:p>
    <w:p w14:paraId="20F8C1E5" w14:textId="6A85B7A5" w:rsidR="007D2514" w:rsidRPr="00C01ED0" w:rsidRDefault="004E2E59" w:rsidP="00EA7942">
      <w:pPr>
        <w:spacing w:line="276" w:lineRule="auto"/>
        <w:jc w:val="center"/>
        <w:rPr>
          <w:rFonts w:cs="Times New Roman"/>
        </w:rPr>
      </w:pPr>
      <w:r w:rsidRPr="00C01ED0">
        <w:rPr>
          <w:rFonts w:cs="Times New Roman"/>
        </w:rPr>
        <w:t xml:space="preserve">Committee: Daniel Hicks, </w:t>
      </w:r>
      <w:r w:rsidR="001E7B14" w:rsidRPr="00C01ED0">
        <w:rPr>
          <w:rFonts w:cs="Times New Roman"/>
        </w:rPr>
        <w:t>Melanie Zaber, and Edmundo Molina</w:t>
      </w:r>
      <w:r w:rsidR="00561452" w:rsidRPr="00C01ED0">
        <w:rPr>
          <w:rFonts w:cs="Times New Roman"/>
        </w:rPr>
        <w:t xml:space="preserve"> (ext.)</w:t>
      </w:r>
    </w:p>
    <w:p w14:paraId="02332ABD" w14:textId="77777777" w:rsidR="007D2514" w:rsidRPr="00C01ED0" w:rsidRDefault="00000000" w:rsidP="00EA7942">
      <w:pPr>
        <w:spacing w:line="276" w:lineRule="auto"/>
        <w:rPr>
          <w:rFonts w:cs="Times New Roman"/>
        </w:rPr>
      </w:pPr>
      <w:r w:rsidRPr="00C01ED0">
        <w:rPr>
          <w:rFonts w:cs="Times New Roman"/>
        </w:rPr>
        <w:br w:type="page"/>
      </w:r>
    </w:p>
    <w:p w14:paraId="7FFB3F24" w14:textId="77777777" w:rsidR="007D2514" w:rsidRPr="00C01ED0" w:rsidRDefault="00000000" w:rsidP="00EA7942">
      <w:pPr>
        <w:pStyle w:val="Heading1"/>
        <w:spacing w:line="276" w:lineRule="auto"/>
        <w:jc w:val="both"/>
        <w:rPr>
          <w:rFonts w:ascii="Times New Roman" w:hAnsi="Times New Roman" w:cs="Times New Roman"/>
        </w:rPr>
      </w:pPr>
      <w:r w:rsidRPr="00C01ED0">
        <w:rPr>
          <w:rFonts w:ascii="Times New Roman" w:hAnsi="Times New Roman" w:cs="Times New Roman"/>
        </w:rPr>
        <w:lastRenderedPageBreak/>
        <w:t>Abstract</w:t>
      </w:r>
    </w:p>
    <w:p w14:paraId="36F9BC1F" w14:textId="42BA9FB3" w:rsidR="007D2514" w:rsidRPr="00BA4E37" w:rsidRDefault="0009450A" w:rsidP="00C65900">
      <w:pPr>
        <w:spacing w:line="276" w:lineRule="auto"/>
        <w:jc w:val="both"/>
        <w:rPr>
          <w:rFonts w:cs="Times New Roman"/>
          <w:sz w:val="22"/>
          <w:szCs w:val="20"/>
        </w:rPr>
      </w:pPr>
      <w:r w:rsidRPr="0009450A">
        <w:rPr>
          <w:rFonts w:cs="Times New Roman"/>
          <w:sz w:val="22"/>
          <w:szCs w:val="20"/>
        </w:rPr>
        <w:t xml:space="preserve">Employment co-benefits are often used to support the case for climate investment, but their size and timing depend on how investment </w:t>
      </w:r>
      <w:r w:rsidR="00726724" w:rsidRPr="0009450A">
        <w:rPr>
          <w:rFonts w:cs="Times New Roman"/>
          <w:sz w:val="22"/>
          <w:szCs w:val="20"/>
        </w:rPr>
        <w:t>flows</w:t>
      </w:r>
      <w:r w:rsidRPr="0009450A">
        <w:rPr>
          <w:rFonts w:cs="Times New Roman"/>
          <w:sz w:val="22"/>
          <w:szCs w:val="20"/>
        </w:rPr>
        <w:t xml:space="preserve"> into labor demand. </w:t>
      </w:r>
      <w:r w:rsidR="00BA4E37" w:rsidRPr="00BA4E37">
        <w:rPr>
          <w:rFonts w:cs="Times New Roman"/>
          <w:sz w:val="22"/>
          <w:szCs w:val="20"/>
        </w:rPr>
        <w:t>This paper estimates domestic labor demand associated with climate investment and related co-benefits along a net-zero pathway for Morocco. It links cost-benefit outputs from the greenhouse gas emissions model SISEPUEDE (Kalra et al., 2023) to MINDSET, a multi-regional input-output framework. We compare baseline and low-emissions scenarios over 33 periods and estimate employment associated with the gradual implementation of 18 climate policies, or transformations, in Morocco’s decarbonization portfolio.</w:t>
      </w:r>
      <w:r w:rsidRPr="0009450A">
        <w:rPr>
          <w:rFonts w:cs="Times New Roman"/>
          <w:sz w:val="22"/>
          <w:szCs w:val="20"/>
        </w:rPr>
        <w:t xml:space="preserve"> The low-emissions pathway supports positive net employment gains over time, </w:t>
      </w:r>
      <w:r w:rsidR="005C4B8D" w:rsidRPr="005C4B8D">
        <w:rPr>
          <w:rFonts w:cs="Times New Roman"/>
          <w:sz w:val="22"/>
          <w:szCs w:val="20"/>
        </w:rPr>
        <w:t xml:space="preserve">amounting to roughly </w:t>
      </w:r>
      <w:r w:rsidRPr="0009450A">
        <w:rPr>
          <w:rFonts w:cs="Times New Roman"/>
          <w:sz w:val="22"/>
          <w:szCs w:val="20"/>
        </w:rPr>
        <w:t>602,000 job-years and stabilizing near 37,000 jobs in later periods. Two transformations with strong links to construction activities stand out for their job creation potential: appliance efficiency and building insulation improvements. These findings show how the pipeline can distinguish not only the scale but also the employment content of climate investment pathways over time, providing evidence to better align climate and development agendas.</w:t>
      </w:r>
      <w:r w:rsidR="00083CE1" w:rsidRPr="00C01ED0">
        <w:rPr>
          <w:rFonts w:cs="Times New Roman"/>
        </w:rPr>
        <w:br w:type="page"/>
      </w:r>
    </w:p>
    <w:p w14:paraId="61C487F4" w14:textId="5387D4FA" w:rsidR="007D2514" w:rsidRPr="00C01ED0" w:rsidRDefault="00000000" w:rsidP="009225EF">
      <w:pPr>
        <w:pStyle w:val="Heading1"/>
        <w:numPr>
          <w:ilvl w:val="0"/>
          <w:numId w:val="10"/>
        </w:numPr>
        <w:spacing w:line="276" w:lineRule="auto"/>
        <w:jc w:val="both"/>
        <w:rPr>
          <w:rFonts w:ascii="Times New Roman" w:hAnsi="Times New Roman" w:cs="Times New Roman"/>
        </w:rPr>
      </w:pPr>
      <w:r w:rsidRPr="00C01ED0">
        <w:rPr>
          <w:rFonts w:ascii="Times New Roman" w:hAnsi="Times New Roman" w:cs="Times New Roman"/>
        </w:rPr>
        <w:lastRenderedPageBreak/>
        <w:t>Introduction</w:t>
      </w:r>
    </w:p>
    <w:p w14:paraId="2DFF4DDC" w14:textId="109E80D7" w:rsidR="00E82300" w:rsidRDefault="00FE7B2A" w:rsidP="002A1294">
      <w:pPr>
        <w:spacing w:line="276" w:lineRule="auto"/>
        <w:ind w:firstLine="360"/>
        <w:jc w:val="both"/>
        <w:rPr>
          <w:rFonts w:cs="Times New Roman"/>
          <w:color w:val="000000" w:themeColor="text1"/>
          <w:sz w:val="22"/>
        </w:rPr>
      </w:pPr>
      <w:r w:rsidRPr="00FE7B2A">
        <w:rPr>
          <w:rFonts w:cs="Times New Roman"/>
          <w:color w:val="000000" w:themeColor="text1"/>
          <w:sz w:val="22"/>
        </w:rPr>
        <w:t>Governments pursuing deep emissions reductions also need to consider how the transition will affect domestic employment.</w:t>
      </w:r>
      <w:r>
        <w:rPr>
          <w:rFonts w:cs="Times New Roman"/>
          <w:color w:val="000000" w:themeColor="text1"/>
          <w:sz w:val="22"/>
        </w:rPr>
        <w:t xml:space="preserve"> </w:t>
      </w:r>
      <w:r w:rsidR="009A6FAC" w:rsidRPr="009A6FAC">
        <w:rPr>
          <w:rFonts w:cs="Times New Roman"/>
          <w:color w:val="000000" w:themeColor="text1"/>
          <w:sz w:val="22"/>
        </w:rPr>
        <w:t xml:space="preserve">This question is especially important in developing economies with rapidly growing working-age populations and high levels of informal employment. Decarbonization and employment growth are often presented as complementary, partly because low-carbon activity may be more labor-intensive than the fossil-fuel activity it displaces (Hanna et al., 2024). The International </w:t>
      </w:r>
      <w:proofErr w:type="spellStart"/>
      <w:r w:rsidR="009A6FAC" w:rsidRPr="009A6FAC">
        <w:rPr>
          <w:rFonts w:cs="Times New Roman"/>
          <w:color w:val="000000" w:themeColor="text1"/>
          <w:sz w:val="22"/>
        </w:rPr>
        <w:t>Labour</w:t>
      </w:r>
      <w:proofErr w:type="spellEnd"/>
      <w:r w:rsidR="009A6FAC" w:rsidRPr="009A6FAC">
        <w:rPr>
          <w:rFonts w:cs="Times New Roman"/>
          <w:color w:val="000000" w:themeColor="text1"/>
          <w:sz w:val="22"/>
        </w:rPr>
        <w:t xml:space="preserve"> Organization</w:t>
      </w:r>
      <w:r w:rsidR="00A64110">
        <w:rPr>
          <w:rFonts w:cs="Times New Roman"/>
          <w:color w:val="000000" w:themeColor="text1"/>
          <w:sz w:val="22"/>
        </w:rPr>
        <w:t xml:space="preserve"> (ILO)</w:t>
      </w:r>
      <w:r w:rsidR="009A6FAC" w:rsidRPr="009A6FAC">
        <w:rPr>
          <w:rFonts w:cs="Times New Roman"/>
          <w:color w:val="000000" w:themeColor="text1"/>
          <w:sz w:val="22"/>
        </w:rPr>
        <w:t xml:space="preserve"> estimates that the energy transition could create 24 million jobs and eliminate 6 million by 2030 (Knudsen et al., 2025; World Bank, 2025). Whether this pattern holds within a particular country and over the timetable of a net-zero pathway depends on what the transition requires, where the relevant goods and services are produced, and how labor-intensive the domestic industries supplying them are</w:t>
      </w:r>
      <w:r w:rsidR="00E82300" w:rsidRPr="00E82300">
        <w:rPr>
          <w:rFonts w:cs="Times New Roman"/>
          <w:color w:val="000000" w:themeColor="text1"/>
          <w:sz w:val="22"/>
        </w:rPr>
        <w:t>.</w:t>
      </w:r>
    </w:p>
    <w:p w14:paraId="539322EA" w14:textId="217177FC" w:rsidR="00E82300" w:rsidRDefault="00E82300" w:rsidP="002A1294">
      <w:pPr>
        <w:spacing w:line="276" w:lineRule="auto"/>
        <w:ind w:firstLine="360"/>
        <w:jc w:val="both"/>
        <w:rPr>
          <w:rFonts w:cs="Times New Roman"/>
          <w:color w:val="000000" w:themeColor="text1"/>
          <w:sz w:val="22"/>
        </w:rPr>
      </w:pPr>
      <w:r w:rsidRPr="00E82300">
        <w:rPr>
          <w:rFonts w:cs="Times New Roman"/>
          <w:color w:val="000000" w:themeColor="text1"/>
          <w:sz w:val="22"/>
        </w:rPr>
        <w:t xml:space="preserve">Existing estimates answer this question only partly. The evidence is concentrated in rich countries. Of the 121 studies in the most recent systematic review, six concern Africa, mostly South Africa, while the fourteen that report employment per dollar invested draw only on European, North American, and Indian data (Hanna et al., 2024). Most estimates also provide a single horizon or regional aggregate, offering limited evidence </w:t>
      </w:r>
      <w:proofErr w:type="gramStart"/>
      <w:r w:rsidRPr="00E82300">
        <w:rPr>
          <w:rFonts w:cs="Times New Roman"/>
          <w:color w:val="000000" w:themeColor="text1"/>
          <w:sz w:val="22"/>
        </w:rPr>
        <w:t>on</w:t>
      </w:r>
      <w:proofErr w:type="gramEnd"/>
      <w:r w:rsidRPr="00E82300">
        <w:rPr>
          <w:rFonts w:cs="Times New Roman"/>
          <w:color w:val="000000" w:themeColor="text1"/>
          <w:sz w:val="22"/>
        </w:rPr>
        <w:t xml:space="preserve"> when employment effects emerge. Montt et al. (2018), for example, report a single 2030 snapshot. Detailed occupational evidence remains specific to </w:t>
      </w:r>
      <w:proofErr w:type="gramStart"/>
      <w:r w:rsidRPr="00E82300">
        <w:rPr>
          <w:rFonts w:cs="Times New Roman"/>
          <w:color w:val="000000" w:themeColor="text1"/>
          <w:sz w:val="22"/>
        </w:rPr>
        <w:t>particular settings</w:t>
      </w:r>
      <w:proofErr w:type="gramEnd"/>
      <w:r w:rsidRPr="00E82300">
        <w:rPr>
          <w:rFonts w:cs="Times New Roman"/>
          <w:color w:val="000000" w:themeColor="text1"/>
          <w:sz w:val="22"/>
        </w:rPr>
        <w:t xml:space="preserve"> and should not be readily extrapolated (Bücker et al., 2025). Many aggregate estimates also allow workers to move from declining sectors into growing ones without fully accounting for the frictions that may constrain this reallocation (Knudsen et al., 2025).</w:t>
      </w:r>
    </w:p>
    <w:p w14:paraId="33D4774F" w14:textId="61541E39" w:rsidR="00E82300" w:rsidRDefault="00E82300" w:rsidP="002A1294">
      <w:pPr>
        <w:spacing w:line="276" w:lineRule="auto"/>
        <w:ind w:firstLine="360"/>
        <w:jc w:val="both"/>
        <w:rPr>
          <w:rFonts w:cs="Times New Roman"/>
          <w:color w:val="000000" w:themeColor="text1"/>
          <w:sz w:val="22"/>
        </w:rPr>
      </w:pPr>
      <w:r w:rsidRPr="00E82300">
        <w:rPr>
          <w:rFonts w:cs="Times New Roman"/>
          <w:color w:val="000000" w:themeColor="text1"/>
          <w:sz w:val="22"/>
        </w:rPr>
        <w:t xml:space="preserve">This paper estimates the </w:t>
      </w:r>
      <w:r w:rsidR="0088454F">
        <w:rPr>
          <w:rFonts w:cs="Times New Roman"/>
          <w:color w:val="000000" w:themeColor="text1"/>
          <w:sz w:val="22"/>
        </w:rPr>
        <w:t xml:space="preserve">net </w:t>
      </w:r>
      <w:r w:rsidRPr="00E82300">
        <w:rPr>
          <w:rFonts w:cs="Times New Roman"/>
          <w:color w:val="000000" w:themeColor="text1"/>
          <w:sz w:val="22"/>
        </w:rPr>
        <w:t>direct and indirect domestic labor demand associated with a low-emissions pathway for Morocco. We compare two scenario runs from SISEPUEDE, a greenhouse gas emissions model</w:t>
      </w:r>
      <w:r w:rsidR="008E334F">
        <w:rPr>
          <w:rFonts w:cs="Times New Roman"/>
          <w:color w:val="000000" w:themeColor="text1"/>
          <w:sz w:val="22"/>
        </w:rPr>
        <w:t xml:space="preserve"> (Kalra et al., 2023), which generates a</w:t>
      </w:r>
      <w:r w:rsidRPr="00E82300">
        <w:rPr>
          <w:rFonts w:cs="Times New Roman"/>
          <w:color w:val="000000" w:themeColor="text1"/>
          <w:sz w:val="22"/>
        </w:rPr>
        <w:t xml:space="preserve"> calibrated </w:t>
      </w:r>
      <w:r w:rsidR="009D3057">
        <w:rPr>
          <w:rFonts w:cs="Times New Roman"/>
          <w:color w:val="000000" w:themeColor="text1"/>
          <w:sz w:val="22"/>
        </w:rPr>
        <w:t>decarbonized scenario for</w:t>
      </w:r>
      <w:r w:rsidR="008E334F">
        <w:rPr>
          <w:rFonts w:cs="Times New Roman"/>
          <w:color w:val="000000" w:themeColor="text1"/>
          <w:sz w:val="22"/>
        </w:rPr>
        <w:t xml:space="preserve"> </w:t>
      </w:r>
      <w:r w:rsidRPr="00E82300">
        <w:rPr>
          <w:rFonts w:cs="Times New Roman"/>
          <w:color w:val="000000" w:themeColor="text1"/>
          <w:sz w:val="22"/>
        </w:rPr>
        <w:t>Morocco</w:t>
      </w:r>
      <w:r w:rsidR="000260E0">
        <w:rPr>
          <w:rFonts w:cs="Times New Roman"/>
          <w:color w:val="000000" w:themeColor="text1"/>
          <w:sz w:val="22"/>
        </w:rPr>
        <w:t xml:space="preserve"> as a case study</w:t>
      </w:r>
      <w:r w:rsidRPr="00E82300">
        <w:rPr>
          <w:rFonts w:cs="Times New Roman"/>
          <w:color w:val="000000" w:themeColor="text1"/>
          <w:sz w:val="22"/>
        </w:rPr>
        <w:t xml:space="preserve">. We </w:t>
      </w:r>
      <w:r w:rsidR="000260E0">
        <w:rPr>
          <w:rFonts w:cs="Times New Roman"/>
          <w:color w:val="000000" w:themeColor="text1"/>
          <w:sz w:val="22"/>
        </w:rPr>
        <w:t>compare</w:t>
      </w:r>
      <w:r w:rsidRPr="00E82300">
        <w:rPr>
          <w:rFonts w:cs="Times New Roman"/>
          <w:color w:val="000000" w:themeColor="text1"/>
          <w:sz w:val="22"/>
        </w:rPr>
        <w:t xml:space="preserve"> between a baseline pathway and a low-emissions pathway calibrated to reach net-zero emissions. For each </w:t>
      </w:r>
      <w:r w:rsidR="00441716">
        <w:rPr>
          <w:rFonts w:cs="Times New Roman"/>
          <w:color w:val="000000" w:themeColor="text1"/>
          <w:sz w:val="22"/>
        </w:rPr>
        <w:t xml:space="preserve">climate action, or </w:t>
      </w:r>
      <w:r w:rsidRPr="00E82300">
        <w:rPr>
          <w:rFonts w:cs="Times New Roman"/>
          <w:color w:val="000000" w:themeColor="text1"/>
          <w:sz w:val="22"/>
        </w:rPr>
        <w:t xml:space="preserve">transformation, we construct annual flows of </w:t>
      </w:r>
      <w:r w:rsidR="00441716">
        <w:rPr>
          <w:rFonts w:cs="Times New Roman"/>
          <w:color w:val="000000" w:themeColor="text1"/>
          <w:sz w:val="22"/>
        </w:rPr>
        <w:t>investments</w:t>
      </w:r>
      <w:r w:rsidRPr="00E82300">
        <w:rPr>
          <w:rFonts w:cs="Times New Roman"/>
          <w:color w:val="000000" w:themeColor="text1"/>
          <w:sz w:val="22"/>
        </w:rPr>
        <w:t xml:space="preserve"> or avoided spending and </w:t>
      </w:r>
      <w:r w:rsidR="004B0D27">
        <w:rPr>
          <w:rFonts w:cs="Times New Roman"/>
          <w:color w:val="000000" w:themeColor="text1"/>
          <w:sz w:val="22"/>
        </w:rPr>
        <w:t>calculate the employment estimates through</w:t>
      </w:r>
      <w:r w:rsidRPr="00E82300">
        <w:rPr>
          <w:rFonts w:cs="Times New Roman"/>
          <w:color w:val="000000" w:themeColor="text1"/>
          <w:sz w:val="22"/>
        </w:rPr>
        <w:t xml:space="preserve"> </w:t>
      </w:r>
      <w:r w:rsidR="00553F76" w:rsidRPr="000C3BCD">
        <w:rPr>
          <w:rFonts w:cs="Times New Roman"/>
          <w:color w:val="000000" w:themeColor="text1"/>
          <w:sz w:val="22"/>
        </w:rPr>
        <w:t xml:space="preserve">MINDSET, a multi-regional input-output framework developed by the World Bank that draws on the </w:t>
      </w:r>
      <w:r w:rsidR="00B654DB">
        <w:rPr>
          <w:rFonts w:cs="Times New Roman"/>
          <w:color w:val="000000" w:themeColor="text1"/>
          <w:sz w:val="22"/>
        </w:rPr>
        <w:t xml:space="preserve">120 products of the </w:t>
      </w:r>
      <w:r w:rsidR="00553F76" w:rsidRPr="000C3BCD">
        <w:rPr>
          <w:rFonts w:cs="Times New Roman"/>
          <w:color w:val="000000" w:themeColor="text1"/>
          <w:sz w:val="22"/>
        </w:rPr>
        <w:t>GLORIA database</w:t>
      </w:r>
      <w:r w:rsidR="00553F76">
        <w:rPr>
          <w:rStyle w:val="FootnoteReference"/>
          <w:rFonts w:cs="Times New Roman"/>
          <w:color w:val="000000" w:themeColor="text1"/>
          <w:sz w:val="22"/>
        </w:rPr>
        <w:footnoteReference w:id="1"/>
      </w:r>
      <w:r w:rsidR="00553F76" w:rsidRPr="00B53765">
        <w:rPr>
          <w:rFonts w:cs="Times New Roman"/>
          <w:color w:val="000000" w:themeColor="text1"/>
          <w:sz w:val="22"/>
        </w:rPr>
        <w:t xml:space="preserve"> (</w:t>
      </w:r>
      <w:proofErr w:type="spellStart"/>
      <w:r w:rsidR="00553F76">
        <w:rPr>
          <w:rFonts w:cs="Times New Roman"/>
          <w:color w:val="000000" w:themeColor="text1"/>
          <w:sz w:val="22"/>
        </w:rPr>
        <w:t>Dorbrand</w:t>
      </w:r>
      <w:proofErr w:type="spellEnd"/>
      <w:r w:rsidR="00553F76">
        <w:rPr>
          <w:rFonts w:cs="Times New Roman"/>
          <w:color w:val="000000" w:themeColor="text1"/>
          <w:sz w:val="22"/>
        </w:rPr>
        <w:t xml:space="preserve"> et al., 2025</w:t>
      </w:r>
      <w:r w:rsidR="00553F76" w:rsidRPr="00B53765">
        <w:rPr>
          <w:rFonts w:cs="Times New Roman"/>
          <w:color w:val="000000" w:themeColor="text1"/>
          <w:sz w:val="22"/>
        </w:rPr>
        <w:t>)</w:t>
      </w:r>
      <w:r w:rsidR="00025E62">
        <w:rPr>
          <w:rFonts w:cs="Times New Roman"/>
          <w:color w:val="000000" w:themeColor="text1"/>
          <w:sz w:val="22"/>
        </w:rPr>
        <w:t>.</w:t>
      </w:r>
      <w:r w:rsidR="00F8760F">
        <w:rPr>
          <w:rFonts w:cs="Times New Roman"/>
          <w:color w:val="000000" w:themeColor="text1"/>
          <w:sz w:val="22"/>
        </w:rPr>
        <w:t xml:space="preserve"> </w:t>
      </w:r>
      <w:r w:rsidRPr="00E82300">
        <w:rPr>
          <w:rFonts w:cs="Times New Roman"/>
          <w:color w:val="000000" w:themeColor="text1"/>
          <w:sz w:val="22"/>
        </w:rPr>
        <w:t xml:space="preserve">Morocco’s input-output structure, domestic supply shares, and employment coefficients then convert the changes in final demand into estimates of domestic labor demand by sector and period over a 33-period horizon. </w:t>
      </w:r>
    </w:p>
    <w:p w14:paraId="23BC895B" w14:textId="77777777" w:rsidR="005948FD" w:rsidRDefault="00E82300" w:rsidP="005948FD">
      <w:pPr>
        <w:spacing w:line="276" w:lineRule="auto"/>
        <w:ind w:firstLine="360"/>
        <w:jc w:val="both"/>
        <w:rPr>
          <w:rFonts w:cs="Times New Roman"/>
          <w:color w:val="000000" w:themeColor="text1"/>
          <w:sz w:val="22"/>
        </w:rPr>
      </w:pPr>
      <w:r w:rsidRPr="00E82300">
        <w:rPr>
          <w:rFonts w:cs="Times New Roman"/>
          <w:color w:val="000000" w:themeColor="text1"/>
          <w:sz w:val="22"/>
        </w:rPr>
        <w:t xml:space="preserve">The estimates do not show an immediate or uniformly positive labor-demand effect relative to the baseline. The estimated net change is negative from </w:t>
      </w: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t</m:t>
            </m:r>
          </m:e>
          <m:sub>
            <m:r>
              <w:rPr>
                <w:rFonts w:ascii="Cambria Math" w:hAnsi="Cambria Math" w:cs="Times New Roman"/>
                <w:color w:val="000000" w:themeColor="text1"/>
                <w:sz w:val="22"/>
              </w:rPr>
              <m:t>3</m:t>
            </m:r>
          </m:sub>
        </m:sSub>
      </m:oMath>
      <w:r w:rsidRPr="00E82300">
        <w:rPr>
          <w:rFonts w:cs="Times New Roman"/>
          <w:color w:val="000000" w:themeColor="text1"/>
          <w:sz w:val="22"/>
        </w:rPr>
        <w:t xml:space="preserve"> through </w:t>
      </w: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t</m:t>
            </m:r>
          </m:e>
          <m:sub>
            <m:r>
              <w:rPr>
                <w:rFonts w:ascii="Cambria Math" w:hAnsi="Cambria Math" w:cs="Times New Roman"/>
                <w:color w:val="000000" w:themeColor="text1"/>
                <w:sz w:val="22"/>
              </w:rPr>
              <m:t>8</m:t>
            </m:r>
          </m:sub>
        </m:sSub>
      </m:oMath>
      <w:r w:rsidRPr="00E82300">
        <w:rPr>
          <w:rFonts w:cs="Times New Roman"/>
          <w:color w:val="000000" w:themeColor="text1"/>
          <w:sz w:val="22"/>
        </w:rPr>
        <w:t>, and later levels off at the equivalent of roughly 37,000 jobs above the baseline. Roughly 85</w:t>
      </w:r>
      <w:r w:rsidR="000776C1">
        <w:rPr>
          <w:rFonts w:cs="Times New Roman"/>
          <w:color w:val="000000" w:themeColor="text1"/>
          <w:sz w:val="22"/>
        </w:rPr>
        <w:t xml:space="preserve">% </w:t>
      </w:r>
      <w:r w:rsidRPr="00E82300">
        <w:rPr>
          <w:rFonts w:cs="Times New Roman"/>
          <w:color w:val="000000" w:themeColor="text1"/>
          <w:sz w:val="22"/>
        </w:rPr>
        <w:t xml:space="preserve">of the cumulative net labor-demand gain accrues from </w:t>
      </w: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t</m:t>
            </m:r>
          </m:e>
          <m:sub>
            <m:r>
              <w:rPr>
                <w:rFonts w:ascii="Cambria Math" w:hAnsi="Cambria Math" w:cs="Times New Roman"/>
                <w:color w:val="000000" w:themeColor="text1"/>
                <w:sz w:val="22"/>
              </w:rPr>
              <m:t>19</m:t>
            </m:r>
          </m:sub>
        </m:sSub>
      </m:oMath>
      <w:r w:rsidRPr="00E82300">
        <w:rPr>
          <w:rFonts w:cs="Times New Roman"/>
          <w:color w:val="000000" w:themeColor="text1"/>
          <w:sz w:val="22"/>
        </w:rPr>
        <w:t xml:space="preserve"> onward. Two transformations account for </w:t>
      </w:r>
      <w:r w:rsidR="00901725">
        <w:rPr>
          <w:rFonts w:cs="Times New Roman"/>
          <w:color w:val="000000" w:themeColor="text1"/>
          <w:sz w:val="22"/>
        </w:rPr>
        <w:t>over 90%</w:t>
      </w:r>
      <w:r w:rsidRPr="00E82300">
        <w:rPr>
          <w:rFonts w:cs="Times New Roman"/>
          <w:color w:val="000000" w:themeColor="text1"/>
          <w:sz w:val="22"/>
        </w:rPr>
        <w:t xml:space="preserve"> of the net total. </w:t>
      </w:r>
      <w:r w:rsidR="005948FD" w:rsidRPr="005948FD">
        <w:rPr>
          <w:rFonts w:cs="Times New Roman"/>
          <w:color w:val="000000" w:themeColor="text1"/>
          <w:sz w:val="22"/>
        </w:rPr>
        <w:t>Reducing building heat demand through improved building insulation supports 290,577 job-years, while raising industrial energy efficiency supports 242,443 job-years. Their large employment totals reflect not only the scale of spending but also the sectors in which that spending is allocated.</w:t>
      </w:r>
      <w:r w:rsidR="00CF645B">
        <w:rPr>
          <w:rFonts w:cs="Times New Roman"/>
          <w:color w:val="000000" w:themeColor="text1"/>
          <w:sz w:val="22"/>
        </w:rPr>
        <w:t xml:space="preserve"> </w:t>
      </w:r>
    </w:p>
    <w:p w14:paraId="49D66B56" w14:textId="4BD77551" w:rsidR="00F50E02" w:rsidRPr="00C01ED0" w:rsidRDefault="00E82300" w:rsidP="005948FD">
      <w:pPr>
        <w:spacing w:line="276" w:lineRule="auto"/>
        <w:ind w:firstLine="360"/>
        <w:jc w:val="both"/>
        <w:rPr>
          <w:rFonts w:cs="Times New Roman"/>
        </w:rPr>
      </w:pPr>
      <w:r w:rsidRPr="00E82300">
        <w:rPr>
          <w:rFonts w:cs="Times New Roman"/>
          <w:color w:val="000000" w:themeColor="text1"/>
          <w:sz w:val="22"/>
        </w:rPr>
        <w:t xml:space="preserve">The rest of the paper proceeds as follows. Section 2 reviews the employment literature. Section 3 </w:t>
      </w:r>
      <w:r w:rsidR="0063339F">
        <w:rPr>
          <w:rFonts w:cs="Times New Roman"/>
          <w:color w:val="000000" w:themeColor="text1"/>
          <w:sz w:val="22"/>
        </w:rPr>
        <w:t>presents</w:t>
      </w:r>
      <w:r w:rsidRPr="00E82300">
        <w:rPr>
          <w:rFonts w:cs="Times New Roman"/>
          <w:color w:val="000000" w:themeColor="text1"/>
          <w:sz w:val="22"/>
        </w:rPr>
        <w:t xml:space="preserve"> the data and estimation. Section 4 describes Morocco’s economic and climate context and presents the main results. Section 5 discusses what the estimates can and cannot support, and Section 6 concludes.</w:t>
      </w:r>
    </w:p>
    <w:p w14:paraId="0AC71411" w14:textId="23B65E86" w:rsidR="00F84E62" w:rsidRPr="00C01ED0" w:rsidRDefault="008766EC" w:rsidP="00F84E62">
      <w:pPr>
        <w:pStyle w:val="Heading1"/>
        <w:numPr>
          <w:ilvl w:val="0"/>
          <w:numId w:val="10"/>
        </w:numPr>
        <w:spacing w:line="276" w:lineRule="auto"/>
        <w:jc w:val="both"/>
        <w:rPr>
          <w:rFonts w:ascii="Times New Roman" w:hAnsi="Times New Roman" w:cs="Times New Roman"/>
        </w:rPr>
      </w:pPr>
      <w:r>
        <w:rPr>
          <w:rFonts w:ascii="Times New Roman" w:hAnsi="Times New Roman" w:cs="Times New Roman"/>
        </w:rPr>
        <w:lastRenderedPageBreak/>
        <w:t>Literature Review</w:t>
      </w:r>
    </w:p>
    <w:p w14:paraId="4EBD6426" w14:textId="6E14551C" w:rsidR="00735E25" w:rsidRDefault="003A145D" w:rsidP="00374619">
      <w:pPr>
        <w:spacing w:line="276" w:lineRule="auto"/>
        <w:ind w:firstLine="360"/>
        <w:jc w:val="both"/>
        <w:rPr>
          <w:rFonts w:cs="Times New Roman"/>
          <w:sz w:val="22"/>
        </w:rPr>
      </w:pPr>
      <w:r w:rsidRPr="003A145D">
        <w:rPr>
          <w:rFonts w:cs="Times New Roman"/>
          <w:sz w:val="22"/>
        </w:rPr>
        <w:t>The employment effects of green investment, comparing the economic advantages of green spending against other investments, have received substantial attention</w:t>
      </w:r>
      <w:r w:rsidR="00F13724">
        <w:rPr>
          <w:rFonts w:cs="Times New Roman"/>
          <w:sz w:val="22"/>
        </w:rPr>
        <w:t xml:space="preserve"> in </w:t>
      </w:r>
      <w:proofErr w:type="gramStart"/>
      <w:r w:rsidR="00F13724">
        <w:rPr>
          <w:rFonts w:cs="Times New Roman"/>
          <w:sz w:val="22"/>
        </w:rPr>
        <w:t>the</w:t>
      </w:r>
      <w:r w:rsidR="003A78CC">
        <w:rPr>
          <w:rFonts w:cs="Times New Roman"/>
          <w:sz w:val="22"/>
        </w:rPr>
        <w:t xml:space="preserve"> </w:t>
      </w:r>
      <w:r w:rsidR="00F13724">
        <w:rPr>
          <w:rFonts w:cs="Times New Roman"/>
          <w:sz w:val="22"/>
        </w:rPr>
        <w:t>litera</w:t>
      </w:r>
      <w:r w:rsidR="003A78CC">
        <w:rPr>
          <w:rFonts w:cs="Times New Roman"/>
          <w:sz w:val="22"/>
        </w:rPr>
        <w:t>t</w:t>
      </w:r>
      <w:r w:rsidR="00F13724">
        <w:rPr>
          <w:rFonts w:cs="Times New Roman"/>
          <w:sz w:val="22"/>
        </w:rPr>
        <w:t>ure</w:t>
      </w:r>
      <w:proofErr w:type="gramEnd"/>
      <w:r w:rsidR="00CB7380">
        <w:rPr>
          <w:rFonts w:cs="Times New Roman"/>
          <w:sz w:val="22"/>
        </w:rPr>
        <w:t xml:space="preserve">. </w:t>
      </w:r>
      <w:r w:rsidR="00465044" w:rsidRPr="00894845">
        <w:rPr>
          <w:rFonts w:cs="Times New Roman"/>
          <w:sz w:val="22"/>
        </w:rPr>
        <w:t>Systematic reviews comparing higher-carbon and low-carbon activities find that</w:t>
      </w:r>
      <w:r w:rsidR="003E5AF8">
        <w:rPr>
          <w:rFonts w:cs="Times New Roman"/>
          <w:sz w:val="22"/>
        </w:rPr>
        <w:t xml:space="preserve"> </w:t>
      </w:r>
      <w:r w:rsidR="003E5AF8" w:rsidRPr="00894845">
        <w:rPr>
          <w:rFonts w:cs="Times New Roman"/>
          <w:sz w:val="22"/>
        </w:rPr>
        <w:t>the fossil fuel sector creates, on average, 5 jobs per USD million invested, compared with</w:t>
      </w:r>
      <w:r w:rsidR="00D448A7">
        <w:rPr>
          <w:rFonts w:cs="Times New Roman"/>
          <w:sz w:val="22"/>
        </w:rPr>
        <w:t xml:space="preserve"> a range of </w:t>
      </w:r>
      <w:r w:rsidR="00D448A7" w:rsidRPr="003A145D">
        <w:rPr>
          <w:rFonts w:cs="Times New Roman"/>
          <w:sz w:val="22"/>
        </w:rPr>
        <w:t xml:space="preserve">15 </w:t>
      </w:r>
      <w:r w:rsidR="00D448A7">
        <w:rPr>
          <w:rFonts w:cs="Times New Roman"/>
          <w:sz w:val="22"/>
        </w:rPr>
        <w:t xml:space="preserve">to </w:t>
      </w:r>
      <w:r w:rsidR="00D448A7" w:rsidRPr="003A145D">
        <w:rPr>
          <w:rFonts w:cs="Times New Roman"/>
          <w:sz w:val="22"/>
        </w:rPr>
        <w:t>22 jobs per USD million for</w:t>
      </w:r>
      <w:r w:rsidR="00D448A7">
        <w:rPr>
          <w:rFonts w:cs="Times New Roman"/>
          <w:sz w:val="22"/>
        </w:rPr>
        <w:t xml:space="preserve"> low-carbons industries, such as</w:t>
      </w:r>
      <w:r w:rsidR="00D448A7" w:rsidRPr="003A145D">
        <w:rPr>
          <w:rFonts w:cs="Times New Roman"/>
          <w:sz w:val="22"/>
        </w:rPr>
        <w:t xml:space="preserve"> renewable energy and energy efficiency technologies (Hanna et al., 2024; O’Callaghan et at, 2022)</w:t>
      </w:r>
      <w:r w:rsidR="00286239">
        <w:rPr>
          <w:rFonts w:cs="Times New Roman"/>
          <w:sz w:val="22"/>
        </w:rPr>
        <w:t xml:space="preserve">. </w:t>
      </w:r>
      <w:r w:rsidR="0051199A">
        <w:rPr>
          <w:rFonts w:cs="Times New Roman"/>
          <w:sz w:val="22"/>
        </w:rPr>
        <w:t>Employment estimates</w:t>
      </w:r>
      <w:r w:rsidRPr="003A145D">
        <w:rPr>
          <w:rFonts w:cs="Times New Roman"/>
          <w:sz w:val="22"/>
        </w:rPr>
        <w:t xml:space="preserve"> have </w:t>
      </w:r>
      <w:r w:rsidR="00216A89">
        <w:rPr>
          <w:rFonts w:cs="Times New Roman"/>
          <w:sz w:val="22"/>
        </w:rPr>
        <w:t xml:space="preserve">been </w:t>
      </w:r>
      <w:r w:rsidRPr="003A145D">
        <w:rPr>
          <w:rFonts w:cs="Times New Roman"/>
          <w:sz w:val="22"/>
        </w:rPr>
        <w:t>developed along three main methodological lines</w:t>
      </w:r>
      <w:r w:rsidR="006C4A67">
        <w:rPr>
          <w:rFonts w:cs="Times New Roman"/>
          <w:sz w:val="22"/>
        </w:rPr>
        <w:t xml:space="preserve">, namely </w:t>
      </w:r>
      <w:r w:rsidRPr="003A145D">
        <w:rPr>
          <w:rFonts w:cs="Times New Roman"/>
          <w:sz w:val="22"/>
        </w:rPr>
        <w:t>Input-Output (IO), computable general equilibrium (CGE), and macro-econometric models</w:t>
      </w:r>
      <w:r w:rsidR="004F6100">
        <w:rPr>
          <w:rFonts w:cs="Times New Roman"/>
          <w:sz w:val="22"/>
        </w:rPr>
        <w:t xml:space="preserve">, </w:t>
      </w:r>
      <w:r w:rsidRPr="003A145D">
        <w:rPr>
          <w:rFonts w:cs="Times New Roman"/>
          <w:sz w:val="22"/>
        </w:rPr>
        <w:t xml:space="preserve">each </w:t>
      </w:r>
      <w:r w:rsidR="004F6100">
        <w:rPr>
          <w:rFonts w:cs="Times New Roman"/>
          <w:sz w:val="22"/>
        </w:rPr>
        <w:t>has</w:t>
      </w:r>
      <w:r w:rsidRPr="003A145D">
        <w:rPr>
          <w:rFonts w:cs="Times New Roman"/>
          <w:sz w:val="22"/>
        </w:rPr>
        <w:t xml:space="preserve"> </w:t>
      </w:r>
      <w:proofErr w:type="gramStart"/>
      <w:r w:rsidRPr="003A145D">
        <w:rPr>
          <w:rFonts w:cs="Times New Roman"/>
          <w:sz w:val="22"/>
        </w:rPr>
        <w:t>particular strengths</w:t>
      </w:r>
      <w:proofErr w:type="gramEnd"/>
      <w:r w:rsidRPr="003A145D">
        <w:rPr>
          <w:rFonts w:cs="Times New Roman"/>
          <w:sz w:val="22"/>
        </w:rPr>
        <w:t xml:space="preserve"> and limitations.</w:t>
      </w:r>
    </w:p>
    <w:p w14:paraId="300A5188" w14:textId="408CE22D" w:rsidR="00735E25" w:rsidRPr="00FE1B68" w:rsidRDefault="00894845" w:rsidP="00374619">
      <w:pPr>
        <w:spacing w:line="276" w:lineRule="auto"/>
        <w:ind w:firstLine="360"/>
        <w:jc w:val="both"/>
        <w:rPr>
          <w:rFonts w:cs="Times New Roman"/>
          <w:color w:val="000000" w:themeColor="text1"/>
          <w:sz w:val="22"/>
        </w:rPr>
      </w:pPr>
      <w:r w:rsidRPr="00FE1B68">
        <w:rPr>
          <w:rFonts w:cs="Times New Roman"/>
          <w:color w:val="000000" w:themeColor="text1"/>
          <w:sz w:val="22"/>
        </w:rPr>
        <w:t>Input-output (I-O) frameworks, including national and multi-region input-output (MRIO) models</w:t>
      </w:r>
      <w:r w:rsidR="00A6637B" w:rsidRPr="00FE1B68">
        <w:rPr>
          <w:rStyle w:val="FootnoteReference"/>
          <w:rFonts w:cs="Times New Roman"/>
          <w:color w:val="000000" w:themeColor="text1"/>
          <w:sz w:val="22"/>
        </w:rPr>
        <w:footnoteReference w:id="2"/>
      </w:r>
      <w:r w:rsidRPr="00FE1B68">
        <w:rPr>
          <w:rFonts w:cs="Times New Roman"/>
          <w:color w:val="000000" w:themeColor="text1"/>
          <w:sz w:val="22"/>
        </w:rPr>
        <w:t>, have been increasingly used to estimate job creation potential in the low-carbon transition (Bücker et al., 2025; San Miguel Arrieta et al., 2024; Černý et al., 2021; Montt et al., 2018). The</w:t>
      </w:r>
      <w:r w:rsidR="000828A0" w:rsidRPr="00FE1B68">
        <w:rPr>
          <w:rFonts w:cs="Times New Roman"/>
          <w:color w:val="000000" w:themeColor="text1"/>
          <w:sz w:val="22"/>
        </w:rPr>
        <w:t>se</w:t>
      </w:r>
      <w:r w:rsidRPr="00FE1B68">
        <w:rPr>
          <w:rFonts w:cs="Times New Roman"/>
          <w:color w:val="000000" w:themeColor="text1"/>
          <w:sz w:val="22"/>
        </w:rPr>
        <w:t xml:space="preserve"> framework</w:t>
      </w:r>
      <w:r w:rsidR="000828A0" w:rsidRPr="00FE1B68">
        <w:rPr>
          <w:rFonts w:cs="Times New Roman"/>
          <w:color w:val="000000" w:themeColor="text1"/>
          <w:sz w:val="22"/>
        </w:rPr>
        <w:t>s</w:t>
      </w:r>
      <w:r w:rsidRPr="00FE1B68">
        <w:rPr>
          <w:rFonts w:cs="Times New Roman"/>
          <w:color w:val="000000" w:themeColor="text1"/>
          <w:sz w:val="22"/>
        </w:rPr>
        <w:t xml:space="preserve"> trace how a dollar of exogenous final demand propagates through inter-industry supply chains. </w:t>
      </w:r>
      <w:r w:rsidR="000828A0" w:rsidRPr="00FE1B68">
        <w:rPr>
          <w:rFonts w:cs="Times New Roman"/>
          <w:color w:val="000000" w:themeColor="text1"/>
          <w:sz w:val="22"/>
        </w:rPr>
        <w:t>They</w:t>
      </w:r>
      <w:r w:rsidRPr="00FE1B68">
        <w:rPr>
          <w:rFonts w:cs="Times New Roman"/>
          <w:color w:val="000000" w:themeColor="text1"/>
          <w:sz w:val="22"/>
        </w:rPr>
        <w:t xml:space="preserve"> translate this demand into sectoral gross output and intermediate input requirements, capturing direct and indirect job creation at fine sectoral and regional resolution. Several studies in this tradition assume fixed cost breakdowns when constructing demand vectors (Bücker et al., 2025;</w:t>
      </w:r>
      <w:r w:rsidR="00B8022F" w:rsidRPr="00FE1B68">
        <w:rPr>
          <w:color w:val="000000" w:themeColor="text1"/>
        </w:rPr>
        <w:t xml:space="preserve"> </w:t>
      </w:r>
      <w:r w:rsidR="00B8022F" w:rsidRPr="00FE1B68">
        <w:rPr>
          <w:rFonts w:cs="Times New Roman"/>
          <w:color w:val="000000" w:themeColor="text1"/>
          <w:sz w:val="22"/>
        </w:rPr>
        <w:t>Salman et al., 2025;</w:t>
      </w:r>
      <w:r w:rsidRPr="00FE1B68">
        <w:rPr>
          <w:rFonts w:cs="Times New Roman"/>
          <w:color w:val="000000" w:themeColor="text1"/>
          <w:sz w:val="22"/>
        </w:rPr>
        <w:t xml:space="preserve"> Bakry et al., 2023; Ram et al., 2020; Garrett-Peltier, 2017)</w:t>
      </w:r>
      <w:r w:rsidR="00A27B69" w:rsidRPr="00FE1B68">
        <w:rPr>
          <w:rStyle w:val="FootnoteReference"/>
          <w:rFonts w:cs="Times New Roman"/>
          <w:color w:val="000000" w:themeColor="text1"/>
          <w:sz w:val="22"/>
        </w:rPr>
        <w:footnoteReference w:id="3"/>
      </w:r>
      <w:r w:rsidRPr="00FE1B68">
        <w:rPr>
          <w:rFonts w:cs="Times New Roman"/>
          <w:color w:val="000000" w:themeColor="text1"/>
          <w:sz w:val="22"/>
        </w:rPr>
        <w:t>. Yet the underlying expenditure structure may differ across countries and may change as technologies mature</w:t>
      </w:r>
      <w:r w:rsidR="00FC5EE6" w:rsidRPr="00FE1B68">
        <w:rPr>
          <w:rFonts w:cs="Times New Roman"/>
          <w:color w:val="000000" w:themeColor="text1"/>
          <w:sz w:val="22"/>
        </w:rPr>
        <w:t xml:space="preserve">, which </w:t>
      </w:r>
      <w:r w:rsidRPr="00FE1B68">
        <w:rPr>
          <w:rFonts w:cs="Times New Roman"/>
          <w:color w:val="000000" w:themeColor="text1"/>
          <w:sz w:val="22"/>
        </w:rPr>
        <w:t xml:space="preserve">limits the extent to which these models can trace a particular intervention to jobs in a specific setting. </w:t>
      </w:r>
      <w:r w:rsidR="00C04283" w:rsidRPr="00FE1B68">
        <w:rPr>
          <w:rFonts w:cs="Times New Roman"/>
          <w:color w:val="000000" w:themeColor="text1"/>
          <w:sz w:val="22"/>
        </w:rPr>
        <w:t>E</w:t>
      </w:r>
      <w:r w:rsidRPr="00FE1B68">
        <w:rPr>
          <w:rFonts w:cs="Times New Roman"/>
          <w:color w:val="000000" w:themeColor="text1"/>
          <w:sz w:val="22"/>
        </w:rPr>
        <w:t xml:space="preserve">mployment multipliers may be misleading when they do not account for variation in capital-to-labor composition, the import shares of major components, the labor intensity of production, and prevailing wage levels (Agan and </w:t>
      </w:r>
      <w:proofErr w:type="spellStart"/>
      <w:r w:rsidRPr="00FE1B68">
        <w:rPr>
          <w:rFonts w:cs="Times New Roman"/>
          <w:color w:val="000000" w:themeColor="text1"/>
          <w:sz w:val="22"/>
        </w:rPr>
        <w:t>Balcilar</w:t>
      </w:r>
      <w:proofErr w:type="spellEnd"/>
      <w:r w:rsidRPr="00FE1B68">
        <w:rPr>
          <w:rFonts w:cs="Times New Roman"/>
          <w:color w:val="000000" w:themeColor="text1"/>
          <w:sz w:val="22"/>
        </w:rPr>
        <w:t>, 2022; Perrier and Quirion, 2018). The same concern applies in dynamic settings, where capital and operational expenditure trajectories depend on the initial expenditure structure.</w:t>
      </w:r>
    </w:p>
    <w:p w14:paraId="4587F0E4" w14:textId="0D435677" w:rsidR="007F5E3D" w:rsidRPr="00FE1B68" w:rsidRDefault="00894845" w:rsidP="008B4BE4">
      <w:pPr>
        <w:spacing w:line="276" w:lineRule="auto"/>
        <w:ind w:firstLine="360"/>
        <w:jc w:val="both"/>
        <w:rPr>
          <w:rFonts w:cs="Times New Roman"/>
          <w:color w:val="000000" w:themeColor="text1"/>
          <w:sz w:val="22"/>
        </w:rPr>
      </w:pPr>
      <w:r w:rsidRPr="00FE1B68">
        <w:rPr>
          <w:rFonts w:cs="Times New Roman"/>
          <w:color w:val="000000" w:themeColor="text1"/>
          <w:sz w:val="22"/>
        </w:rPr>
        <w:t xml:space="preserve">Computable general equilibrium (CGE) models go further by allowing prices, wages, and factor substitution to adjust while imposing optimization and market clearing. </w:t>
      </w:r>
      <w:r w:rsidR="007D165A" w:rsidRPr="00FE1B68">
        <w:rPr>
          <w:rFonts w:cs="Times New Roman"/>
          <w:color w:val="000000" w:themeColor="text1"/>
          <w:sz w:val="22"/>
        </w:rPr>
        <w:t xml:space="preserve">Some extensions produce net employment estimates that account for displacement and imperfect labor mobility (Mealy et al., 2025; Castellanos and </w:t>
      </w:r>
      <w:proofErr w:type="spellStart"/>
      <w:r w:rsidR="007D165A" w:rsidRPr="00FE1B68">
        <w:rPr>
          <w:rFonts w:cs="Times New Roman"/>
          <w:color w:val="000000" w:themeColor="text1"/>
          <w:sz w:val="22"/>
        </w:rPr>
        <w:t>Heutel</w:t>
      </w:r>
      <w:proofErr w:type="spellEnd"/>
      <w:r w:rsidR="007D165A" w:rsidRPr="00FE1B68">
        <w:rPr>
          <w:rFonts w:cs="Times New Roman"/>
          <w:color w:val="000000" w:themeColor="text1"/>
          <w:sz w:val="22"/>
        </w:rPr>
        <w:t>, 2024; Fragkos &amp; Fragkiadakis, 2022; Chateau et al., 2018</w:t>
      </w:r>
      <w:r w:rsidR="005121A8" w:rsidRPr="00FE1B68">
        <w:rPr>
          <w:rFonts w:cs="Times New Roman"/>
          <w:color w:val="000000" w:themeColor="text1"/>
          <w:sz w:val="22"/>
        </w:rPr>
        <w:t>).</w:t>
      </w:r>
      <w:r w:rsidR="008B4BE4" w:rsidRPr="00FE1B68">
        <w:rPr>
          <w:rFonts w:cs="Times New Roman"/>
          <w:color w:val="000000" w:themeColor="text1"/>
          <w:sz w:val="22"/>
        </w:rPr>
        <w:t xml:space="preserve"> </w:t>
      </w:r>
      <w:r w:rsidRPr="00FE1B68">
        <w:rPr>
          <w:rFonts w:cs="Times New Roman"/>
          <w:color w:val="000000" w:themeColor="text1"/>
          <w:sz w:val="22"/>
        </w:rPr>
        <w:t xml:space="preserve">However, investments in green technology and mitigation actions are often represented using fixed </w:t>
      </w:r>
      <w:r w:rsidR="00BB7FA9" w:rsidRPr="00FE1B68">
        <w:rPr>
          <w:rFonts w:cs="Times New Roman"/>
          <w:color w:val="000000" w:themeColor="text1"/>
          <w:sz w:val="22"/>
        </w:rPr>
        <w:t>cost</w:t>
      </w:r>
      <w:r w:rsidRPr="00FE1B68">
        <w:rPr>
          <w:rFonts w:cs="Times New Roman"/>
          <w:color w:val="000000" w:themeColor="text1"/>
          <w:sz w:val="22"/>
        </w:rPr>
        <w:t xml:space="preserve"> structures</w:t>
      </w:r>
      <w:r w:rsidR="00977EA6" w:rsidRPr="00FE1B68">
        <w:rPr>
          <w:rFonts w:cs="Times New Roman"/>
          <w:color w:val="000000" w:themeColor="text1"/>
          <w:sz w:val="22"/>
        </w:rPr>
        <w:t xml:space="preserve"> that may not fully capture </w:t>
      </w:r>
      <w:r w:rsidR="0021796C" w:rsidRPr="00FE1B68">
        <w:rPr>
          <w:rFonts w:cs="Times New Roman"/>
          <w:color w:val="000000" w:themeColor="text1"/>
          <w:sz w:val="22"/>
        </w:rPr>
        <w:t>the underlying economic dynamics</w:t>
      </w:r>
      <w:r w:rsidRPr="00FE1B68">
        <w:rPr>
          <w:rFonts w:cs="Times New Roman"/>
          <w:color w:val="000000" w:themeColor="text1"/>
          <w:sz w:val="22"/>
        </w:rPr>
        <w:t xml:space="preserve">. </w:t>
      </w:r>
      <w:r w:rsidR="00BD5136" w:rsidRPr="00FE1B68">
        <w:rPr>
          <w:rFonts w:cs="Times New Roman"/>
          <w:color w:val="000000" w:themeColor="text1"/>
          <w:sz w:val="22"/>
        </w:rPr>
        <w:t xml:space="preserve">As </w:t>
      </w:r>
      <w:r w:rsidRPr="00FE1B68">
        <w:rPr>
          <w:rFonts w:cs="Times New Roman"/>
          <w:color w:val="000000" w:themeColor="text1"/>
          <w:sz w:val="22"/>
        </w:rPr>
        <w:t>CGE results are sensitive to production function calibration and closure assumptions</w:t>
      </w:r>
      <w:r w:rsidR="00C216AB" w:rsidRPr="00FE1B68">
        <w:rPr>
          <w:rFonts w:cs="Times New Roman"/>
          <w:color w:val="000000" w:themeColor="text1"/>
          <w:sz w:val="22"/>
        </w:rPr>
        <w:t>, i</w:t>
      </w:r>
      <w:r w:rsidRPr="00FE1B68">
        <w:rPr>
          <w:rFonts w:cs="Times New Roman"/>
          <w:color w:val="000000" w:themeColor="text1"/>
          <w:sz w:val="22"/>
        </w:rPr>
        <w:t>naccurate capital-labor shares</w:t>
      </w:r>
      <w:r w:rsidR="00275109" w:rsidRPr="00FE1B68">
        <w:rPr>
          <w:rFonts w:cs="Times New Roman"/>
          <w:color w:val="000000" w:themeColor="text1"/>
          <w:sz w:val="22"/>
        </w:rPr>
        <w:t xml:space="preserve"> introduced in the models</w:t>
      </w:r>
      <w:r w:rsidRPr="00FE1B68">
        <w:rPr>
          <w:rFonts w:cs="Times New Roman"/>
          <w:color w:val="000000" w:themeColor="text1"/>
          <w:sz w:val="22"/>
        </w:rPr>
        <w:t xml:space="preserve"> may distort production function estimates and factor substitution patterns, biasing simulated labor-demand responses (</w:t>
      </w:r>
      <w:r w:rsidR="00275109" w:rsidRPr="00FE1B68">
        <w:rPr>
          <w:rFonts w:cs="Times New Roman"/>
          <w:color w:val="000000" w:themeColor="text1"/>
          <w:sz w:val="22"/>
        </w:rPr>
        <w:t xml:space="preserve">Castellanos and </w:t>
      </w:r>
      <w:proofErr w:type="spellStart"/>
      <w:r w:rsidR="00275109" w:rsidRPr="00FE1B68">
        <w:rPr>
          <w:rFonts w:cs="Times New Roman"/>
          <w:color w:val="000000" w:themeColor="text1"/>
          <w:sz w:val="22"/>
        </w:rPr>
        <w:t>Heutel</w:t>
      </w:r>
      <w:proofErr w:type="spellEnd"/>
      <w:r w:rsidR="00275109" w:rsidRPr="00FE1B68">
        <w:rPr>
          <w:rFonts w:cs="Times New Roman"/>
          <w:color w:val="000000" w:themeColor="text1"/>
          <w:sz w:val="22"/>
        </w:rPr>
        <w:t xml:space="preserve">, 2024; Bolarinwa, 2024; </w:t>
      </w:r>
      <w:proofErr w:type="spellStart"/>
      <w:r w:rsidR="00275109" w:rsidRPr="00FE1B68">
        <w:rPr>
          <w:rFonts w:cs="Times New Roman"/>
          <w:color w:val="000000" w:themeColor="text1"/>
          <w:sz w:val="22"/>
        </w:rPr>
        <w:t>Hafstead</w:t>
      </w:r>
      <w:proofErr w:type="spellEnd"/>
      <w:r w:rsidR="00275109" w:rsidRPr="00FE1B68">
        <w:rPr>
          <w:rFonts w:cs="Times New Roman"/>
          <w:color w:val="000000" w:themeColor="text1"/>
          <w:sz w:val="22"/>
        </w:rPr>
        <w:t xml:space="preserve"> et al., 2022</w:t>
      </w:r>
      <w:r w:rsidRPr="00FE1B68">
        <w:rPr>
          <w:rFonts w:cs="Times New Roman"/>
          <w:color w:val="000000" w:themeColor="text1"/>
          <w:sz w:val="22"/>
        </w:rPr>
        <w:t>). When the inputs of green technologies and climate investments do not reflect country-specific import dependence and domestic supply capacity, models may allocate demand across domestic industries incorrectly</w:t>
      </w:r>
      <w:r w:rsidR="00031F60" w:rsidRPr="00FE1B68">
        <w:rPr>
          <w:rFonts w:cs="Times New Roman"/>
          <w:color w:val="000000" w:themeColor="text1"/>
          <w:sz w:val="22"/>
        </w:rPr>
        <w:t xml:space="preserve"> and</w:t>
      </w:r>
      <w:r w:rsidR="007E4E59" w:rsidRPr="00FE1B68">
        <w:rPr>
          <w:rFonts w:cs="Times New Roman"/>
          <w:color w:val="000000" w:themeColor="text1"/>
          <w:sz w:val="22"/>
        </w:rPr>
        <w:t xml:space="preserve"> generat</w:t>
      </w:r>
      <w:r w:rsidR="00031F60" w:rsidRPr="00FE1B68">
        <w:rPr>
          <w:rFonts w:cs="Times New Roman"/>
          <w:color w:val="000000" w:themeColor="text1"/>
          <w:sz w:val="22"/>
        </w:rPr>
        <w:t>e</w:t>
      </w:r>
      <w:r w:rsidRPr="00FE1B68">
        <w:rPr>
          <w:rFonts w:cs="Times New Roman"/>
          <w:color w:val="000000" w:themeColor="text1"/>
          <w:sz w:val="22"/>
        </w:rPr>
        <w:t xml:space="preserve"> </w:t>
      </w:r>
      <w:r w:rsidR="007E4E59" w:rsidRPr="00FE1B68">
        <w:rPr>
          <w:rFonts w:cs="Times New Roman"/>
          <w:color w:val="000000" w:themeColor="text1"/>
          <w:sz w:val="22"/>
        </w:rPr>
        <w:t>imprecise</w:t>
      </w:r>
      <w:r w:rsidRPr="00FE1B68">
        <w:rPr>
          <w:rFonts w:cs="Times New Roman"/>
          <w:color w:val="000000" w:themeColor="text1"/>
          <w:sz w:val="22"/>
        </w:rPr>
        <w:t xml:space="preserve"> job gains.</w:t>
      </w:r>
      <w:r w:rsidR="008B4BE4" w:rsidRPr="00FE1B68">
        <w:rPr>
          <w:rFonts w:cs="Times New Roman"/>
          <w:color w:val="000000" w:themeColor="text1"/>
          <w:sz w:val="22"/>
        </w:rPr>
        <w:t xml:space="preserve"> </w:t>
      </w:r>
      <w:r w:rsidR="00031F60" w:rsidRPr="00FE1B68">
        <w:rPr>
          <w:rFonts w:cs="Times New Roman"/>
          <w:color w:val="000000" w:themeColor="text1"/>
          <w:sz w:val="22"/>
        </w:rPr>
        <w:t xml:space="preserve">For solar photovoltaic deployment, for example, domestic employment depends partly on the </w:t>
      </w:r>
      <w:r w:rsidR="00031F60" w:rsidRPr="00FE1B68">
        <w:rPr>
          <w:rFonts w:cs="Times New Roman"/>
          <w:color w:val="000000" w:themeColor="text1"/>
          <w:sz w:val="22"/>
        </w:rPr>
        <w:lastRenderedPageBreak/>
        <w:t>extent to which panels and electrical equipment are imported rather than produced locally. This may shift labor demand away from manufacturing and toward installation, project development, maintenance, and other local services.</w:t>
      </w:r>
    </w:p>
    <w:p w14:paraId="0B7885C2" w14:textId="1D2FCF49" w:rsidR="009E6CF3" w:rsidRPr="00FE1B68" w:rsidRDefault="00894845" w:rsidP="00C007AA">
      <w:pPr>
        <w:spacing w:line="276" w:lineRule="auto"/>
        <w:ind w:firstLine="360"/>
        <w:jc w:val="both"/>
        <w:rPr>
          <w:rFonts w:cs="Times New Roman"/>
          <w:color w:val="000000" w:themeColor="text1"/>
          <w:sz w:val="22"/>
        </w:rPr>
      </w:pPr>
      <w:r w:rsidRPr="00FE1B68">
        <w:rPr>
          <w:rFonts w:cs="Times New Roman"/>
          <w:color w:val="000000" w:themeColor="text1"/>
          <w:sz w:val="22"/>
        </w:rPr>
        <w:t xml:space="preserve">A third </w:t>
      </w:r>
      <w:r w:rsidR="00C42D2D" w:rsidRPr="00FE1B68">
        <w:rPr>
          <w:rFonts w:cs="Times New Roman"/>
          <w:color w:val="000000" w:themeColor="text1"/>
          <w:sz w:val="22"/>
        </w:rPr>
        <w:t>tradition</w:t>
      </w:r>
      <w:r w:rsidRPr="00FE1B68">
        <w:rPr>
          <w:rFonts w:cs="Times New Roman"/>
          <w:color w:val="000000" w:themeColor="text1"/>
          <w:sz w:val="22"/>
        </w:rPr>
        <w:t xml:space="preserve"> uses macro-econometric models</w:t>
      </w:r>
      <w:r w:rsidR="00662068" w:rsidRPr="00FE1B68">
        <w:rPr>
          <w:rFonts w:cs="Times New Roman"/>
          <w:color w:val="000000" w:themeColor="text1"/>
          <w:sz w:val="22"/>
        </w:rPr>
        <w:t xml:space="preserve">, including </w:t>
      </w:r>
      <w:r w:rsidRPr="00FE1B68">
        <w:rPr>
          <w:rFonts w:cs="Times New Roman"/>
          <w:color w:val="000000" w:themeColor="text1"/>
          <w:sz w:val="22"/>
        </w:rPr>
        <w:t xml:space="preserve">energy-environment-economy (3E) frameworks </w:t>
      </w:r>
      <w:r w:rsidR="00523E20" w:rsidRPr="00FE1B68">
        <w:rPr>
          <w:rFonts w:cs="Times New Roman"/>
          <w:color w:val="000000" w:themeColor="text1"/>
          <w:sz w:val="22"/>
        </w:rPr>
        <w:t>such as</w:t>
      </w:r>
      <w:r w:rsidRPr="00FE1B68">
        <w:rPr>
          <w:rFonts w:cs="Times New Roman"/>
          <w:color w:val="000000" w:themeColor="text1"/>
          <w:sz w:val="22"/>
        </w:rPr>
        <w:t xml:space="preserve"> E3ME and NEMESIS, to estimate how key economic variables</w:t>
      </w:r>
      <w:r w:rsidR="00F263B4" w:rsidRPr="00FE1B68">
        <w:rPr>
          <w:rFonts w:cs="Times New Roman"/>
          <w:color w:val="000000" w:themeColor="text1"/>
          <w:sz w:val="22"/>
        </w:rPr>
        <w:t xml:space="preserve"> (e.g.,</w:t>
      </w:r>
      <w:r w:rsidR="00E45571" w:rsidRPr="00FE1B68">
        <w:rPr>
          <w:rFonts w:cs="Times New Roman"/>
          <w:color w:val="000000" w:themeColor="text1"/>
          <w:sz w:val="22"/>
        </w:rPr>
        <w:t xml:space="preserve"> </w:t>
      </w:r>
      <w:r w:rsidR="00F263B4" w:rsidRPr="00FE1B68">
        <w:rPr>
          <w:rFonts w:cs="Times New Roman"/>
          <w:color w:val="000000" w:themeColor="text1"/>
          <w:sz w:val="22"/>
        </w:rPr>
        <w:t>GDP, employment)</w:t>
      </w:r>
      <w:r w:rsidRPr="00FE1B68">
        <w:rPr>
          <w:rFonts w:cs="Times New Roman"/>
          <w:color w:val="000000" w:themeColor="text1"/>
          <w:sz w:val="22"/>
        </w:rPr>
        <w:t xml:space="preserve"> adjust over time using historical data. These models have been applied particularly to the economic analysis of European energy and climate policy (</w:t>
      </w:r>
      <w:proofErr w:type="spellStart"/>
      <w:r w:rsidRPr="00FE1B68">
        <w:rPr>
          <w:rFonts w:cs="Times New Roman"/>
          <w:color w:val="000000" w:themeColor="text1"/>
          <w:sz w:val="22"/>
        </w:rPr>
        <w:t>Alexandri</w:t>
      </w:r>
      <w:proofErr w:type="spellEnd"/>
      <w:r w:rsidRPr="00FE1B68">
        <w:rPr>
          <w:rFonts w:cs="Times New Roman"/>
          <w:color w:val="000000" w:themeColor="text1"/>
          <w:sz w:val="22"/>
        </w:rPr>
        <w:t xml:space="preserve"> et al., 2024; Ortega et al., 2020; Lehr and Lutz, 2019; Pollitt et al., 2015). </w:t>
      </w:r>
      <w:r w:rsidR="00B542B7" w:rsidRPr="00FE1B68">
        <w:rPr>
          <w:rFonts w:cs="Times New Roman"/>
          <w:color w:val="000000" w:themeColor="text1"/>
          <w:sz w:val="22"/>
        </w:rPr>
        <w:t>These models are demand-led in the short to medium term and combine national accounting identities with estimated behavioral equations</w:t>
      </w:r>
      <w:r w:rsidR="005F4D4D" w:rsidRPr="00FE1B68">
        <w:rPr>
          <w:rFonts w:cs="Times New Roman"/>
          <w:color w:val="000000" w:themeColor="text1"/>
          <w:sz w:val="22"/>
        </w:rPr>
        <w:t>.</w:t>
      </w:r>
      <w:r w:rsidR="00B542B7" w:rsidRPr="00FE1B68">
        <w:rPr>
          <w:rFonts w:cs="Times New Roman"/>
          <w:color w:val="000000" w:themeColor="text1"/>
          <w:sz w:val="22"/>
        </w:rPr>
        <w:t xml:space="preserve"> </w:t>
      </w:r>
      <w:r w:rsidR="005F4D4D" w:rsidRPr="00FE1B68">
        <w:rPr>
          <w:rFonts w:cs="Times New Roman"/>
          <w:color w:val="000000" w:themeColor="text1"/>
          <w:sz w:val="22"/>
        </w:rPr>
        <w:t>These equations</w:t>
      </w:r>
      <w:r w:rsidR="00B542B7" w:rsidRPr="00FE1B68">
        <w:rPr>
          <w:rFonts w:cs="Times New Roman"/>
          <w:color w:val="000000" w:themeColor="text1"/>
          <w:sz w:val="22"/>
        </w:rPr>
        <w:t xml:space="preserve"> assess how demand shocks – policy shocks, new investment – affect sectoral output, which </w:t>
      </w:r>
      <w:r w:rsidR="00E77438" w:rsidRPr="00FE1B68">
        <w:rPr>
          <w:rFonts w:cs="Times New Roman"/>
          <w:color w:val="000000" w:themeColor="text1"/>
          <w:sz w:val="22"/>
        </w:rPr>
        <w:t xml:space="preserve">then </w:t>
      </w:r>
      <w:r w:rsidR="00B542B7" w:rsidRPr="00FE1B68">
        <w:rPr>
          <w:rFonts w:cs="Times New Roman"/>
          <w:color w:val="000000" w:themeColor="text1"/>
          <w:sz w:val="22"/>
        </w:rPr>
        <w:t xml:space="preserve">feeds into the labor demand through sectoral production functions and wage-setting equations, avoiding the market clearing assumptions of standard CGE models (Cambridge Econometrics, 2022; </w:t>
      </w:r>
      <w:proofErr w:type="spellStart"/>
      <w:r w:rsidR="00B542B7" w:rsidRPr="00FE1B68">
        <w:rPr>
          <w:rFonts w:cs="Times New Roman"/>
          <w:color w:val="000000" w:themeColor="text1"/>
          <w:sz w:val="22"/>
        </w:rPr>
        <w:t>Akcigit</w:t>
      </w:r>
      <w:proofErr w:type="spellEnd"/>
      <w:r w:rsidR="00B542B7" w:rsidRPr="00FE1B68">
        <w:rPr>
          <w:rFonts w:cs="Times New Roman"/>
          <w:color w:val="000000" w:themeColor="text1"/>
          <w:sz w:val="22"/>
        </w:rPr>
        <w:t xml:space="preserve"> et al., 2022)</w:t>
      </w:r>
      <w:r w:rsidRPr="00FE1B68">
        <w:rPr>
          <w:rFonts w:cs="Times New Roman"/>
          <w:color w:val="000000" w:themeColor="text1"/>
          <w:sz w:val="22"/>
        </w:rPr>
        <w:t>. However, their core behavioral relationships are estimated from historical time series</w:t>
      </w:r>
      <w:r w:rsidR="002223F9" w:rsidRPr="00FE1B68">
        <w:rPr>
          <w:rFonts w:cs="Times New Roman"/>
          <w:color w:val="000000" w:themeColor="text1"/>
          <w:sz w:val="22"/>
        </w:rPr>
        <w:t>, embedding</w:t>
      </w:r>
      <w:r w:rsidRPr="00FE1B68">
        <w:rPr>
          <w:rFonts w:cs="Times New Roman"/>
          <w:color w:val="000000" w:themeColor="text1"/>
          <w:sz w:val="22"/>
        </w:rPr>
        <w:t xml:space="preserve"> sectoral interdependencies observed in the past, which may be less reliable for forward-looking policy analysis. This is particularly relevant where the cost and input structures of the sectors being modelled are changing rapidly. In these cases, historical coefficients may not represent the employment implications of a particular intervention</w:t>
      </w:r>
      <w:r w:rsidR="003F43D6" w:rsidRPr="00FE1B68">
        <w:rPr>
          <w:rFonts w:cs="Times New Roman"/>
          <w:color w:val="000000" w:themeColor="text1"/>
          <w:sz w:val="22"/>
        </w:rPr>
        <w:t xml:space="preserve">, such as climate </w:t>
      </w:r>
      <w:r w:rsidR="00DB6B45" w:rsidRPr="00FE1B68">
        <w:rPr>
          <w:rFonts w:cs="Times New Roman"/>
          <w:color w:val="000000" w:themeColor="text1"/>
          <w:sz w:val="22"/>
        </w:rPr>
        <w:t>investments,</w:t>
      </w:r>
      <w:r w:rsidRPr="00FE1B68">
        <w:rPr>
          <w:rFonts w:cs="Times New Roman"/>
          <w:color w:val="000000" w:themeColor="text1"/>
          <w:sz w:val="22"/>
        </w:rPr>
        <w:t xml:space="preserve"> in a specific country context.</w:t>
      </w:r>
    </w:p>
    <w:p w14:paraId="0B83D469" w14:textId="49D9C938" w:rsidR="003930AA" w:rsidRPr="00B538C6" w:rsidRDefault="003D4E75" w:rsidP="00F91FED">
      <w:pPr>
        <w:spacing w:line="276" w:lineRule="auto"/>
        <w:ind w:firstLine="360"/>
        <w:jc w:val="both"/>
        <w:rPr>
          <w:rFonts w:cs="Times New Roman"/>
          <w:color w:val="000000" w:themeColor="text1"/>
          <w:sz w:val="22"/>
        </w:rPr>
      </w:pPr>
      <w:r w:rsidRPr="00FE1B68">
        <w:rPr>
          <w:rFonts w:cs="Times New Roman"/>
          <w:color w:val="000000" w:themeColor="text1"/>
          <w:sz w:val="22"/>
        </w:rPr>
        <w:t xml:space="preserve">Across these approaches, fixed cost breakdowns, cost trajectories derived from an initial structure, and projections based on historical relationships may not fully capture variation in the conditions that shape employment across countries. This issue may become more important where climate policy requires substantial changes in technologies, production practices, and supply chains rather than incremental adjustments. Employment outcomes are also commonly reported as aggregate sectoral effects. Fewer studies link a portfolio of climate interventions, specified at </w:t>
      </w:r>
      <w:proofErr w:type="gramStart"/>
      <w:r w:rsidRPr="00FE1B68">
        <w:rPr>
          <w:rFonts w:cs="Times New Roman"/>
          <w:color w:val="000000" w:themeColor="text1"/>
          <w:sz w:val="22"/>
        </w:rPr>
        <w:t>particular implementation</w:t>
      </w:r>
      <w:proofErr w:type="gramEnd"/>
      <w:r w:rsidRPr="00FE1B68">
        <w:rPr>
          <w:rFonts w:cs="Times New Roman"/>
          <w:color w:val="000000" w:themeColor="text1"/>
          <w:sz w:val="22"/>
        </w:rPr>
        <w:t xml:space="preserve"> levels, to employment outcomes in a country-specific pathway toward net zero.</w:t>
      </w:r>
    </w:p>
    <w:p w14:paraId="35EC3A3E" w14:textId="080E74D3" w:rsidR="0033585D" w:rsidRPr="00C01ED0" w:rsidRDefault="0033585D" w:rsidP="0033585D">
      <w:pPr>
        <w:pStyle w:val="Heading1"/>
        <w:numPr>
          <w:ilvl w:val="0"/>
          <w:numId w:val="10"/>
        </w:numPr>
        <w:spacing w:line="276" w:lineRule="auto"/>
        <w:jc w:val="both"/>
        <w:rPr>
          <w:rFonts w:ascii="Times New Roman" w:hAnsi="Times New Roman" w:cs="Times New Roman"/>
        </w:rPr>
      </w:pPr>
      <w:r w:rsidRPr="00C01ED0">
        <w:rPr>
          <w:rFonts w:ascii="Times New Roman" w:hAnsi="Times New Roman" w:cs="Times New Roman"/>
        </w:rPr>
        <w:t>Data</w:t>
      </w:r>
      <w:r w:rsidR="002D3F38">
        <w:rPr>
          <w:rFonts w:ascii="Times New Roman" w:hAnsi="Times New Roman" w:cs="Times New Roman"/>
        </w:rPr>
        <w:t xml:space="preserve"> and Methods</w:t>
      </w:r>
    </w:p>
    <w:p w14:paraId="1A73977D" w14:textId="341DF7E5" w:rsidR="00176F88" w:rsidRPr="00C01ED0" w:rsidRDefault="00095770" w:rsidP="00810EF2">
      <w:pPr>
        <w:pStyle w:val="Heading2"/>
        <w:numPr>
          <w:ilvl w:val="1"/>
          <w:numId w:val="10"/>
        </w:numPr>
        <w:rPr>
          <w:rFonts w:ascii="Times New Roman" w:hAnsi="Times New Roman" w:cs="Times New Roman"/>
          <w:sz w:val="22"/>
        </w:rPr>
      </w:pPr>
      <w:r>
        <w:rPr>
          <w:rFonts w:ascii="Times New Roman" w:hAnsi="Times New Roman" w:cs="Times New Roman"/>
        </w:rPr>
        <w:t>Data</w:t>
      </w:r>
      <w:r w:rsidR="00E82F68">
        <w:rPr>
          <w:rFonts w:ascii="Times New Roman" w:hAnsi="Times New Roman" w:cs="Times New Roman"/>
        </w:rPr>
        <w:t xml:space="preserve"> and analytical framework</w:t>
      </w:r>
    </w:p>
    <w:p w14:paraId="7DB843DC" w14:textId="1456FD38" w:rsidR="00BF54B5" w:rsidRDefault="00354110" w:rsidP="00B53765">
      <w:pPr>
        <w:spacing w:line="276" w:lineRule="auto"/>
        <w:ind w:firstLine="360"/>
        <w:jc w:val="both"/>
        <w:rPr>
          <w:rFonts w:cs="Times New Roman"/>
          <w:color w:val="000000" w:themeColor="text1"/>
          <w:sz w:val="22"/>
        </w:rPr>
      </w:pPr>
      <w:r w:rsidRPr="000C3BCD">
        <w:rPr>
          <w:rFonts w:cs="Times New Roman"/>
          <w:color w:val="000000" w:themeColor="text1"/>
          <w:sz w:val="22"/>
        </w:rPr>
        <w:t xml:space="preserve">This paper estimates </w:t>
      </w:r>
      <w:r w:rsidR="0088454F">
        <w:rPr>
          <w:rFonts w:cs="Times New Roman"/>
          <w:color w:val="000000" w:themeColor="text1"/>
          <w:sz w:val="22"/>
        </w:rPr>
        <w:t xml:space="preserve">net </w:t>
      </w:r>
      <w:r w:rsidR="0088454F" w:rsidRPr="00E82300">
        <w:rPr>
          <w:rFonts w:cs="Times New Roman"/>
          <w:color w:val="000000" w:themeColor="text1"/>
          <w:sz w:val="22"/>
        </w:rPr>
        <w:t xml:space="preserve">direct and indirect domestic labor demand </w:t>
      </w:r>
      <w:r w:rsidRPr="000C3BCD">
        <w:rPr>
          <w:rFonts w:cs="Times New Roman"/>
          <w:color w:val="000000" w:themeColor="text1"/>
          <w:sz w:val="22"/>
        </w:rPr>
        <w:t>by sector over a 33-year period</w:t>
      </w:r>
      <w:r w:rsidR="00524843">
        <w:rPr>
          <w:rStyle w:val="FootnoteReference"/>
          <w:rFonts w:cs="Times New Roman"/>
          <w:color w:val="000000" w:themeColor="text1"/>
          <w:sz w:val="22"/>
        </w:rPr>
        <w:footnoteReference w:id="4"/>
      </w:r>
      <w:r w:rsidRPr="000C3BCD">
        <w:rPr>
          <w:rFonts w:cs="Times New Roman"/>
          <w:color w:val="000000" w:themeColor="text1"/>
          <w:sz w:val="22"/>
        </w:rPr>
        <w:t xml:space="preserve">. The estimates are based on climate investments linked to a policy portfolio </w:t>
      </w:r>
      <w:r w:rsidR="00083B8B">
        <w:rPr>
          <w:rFonts w:cs="Times New Roman"/>
          <w:color w:val="000000" w:themeColor="text1"/>
          <w:sz w:val="22"/>
        </w:rPr>
        <w:t xml:space="preserve">of </w:t>
      </w:r>
      <w:r w:rsidR="00901607">
        <w:rPr>
          <w:rFonts w:cs="Times New Roman"/>
          <w:color w:val="000000" w:themeColor="text1"/>
          <w:sz w:val="22"/>
        </w:rPr>
        <w:t>18</w:t>
      </w:r>
      <w:r w:rsidR="00083B8B">
        <w:rPr>
          <w:rFonts w:cs="Times New Roman"/>
          <w:color w:val="000000" w:themeColor="text1"/>
          <w:sz w:val="22"/>
        </w:rPr>
        <w:t xml:space="preserve"> tran</w:t>
      </w:r>
      <w:r w:rsidR="00B3228D">
        <w:rPr>
          <w:rFonts w:cs="Times New Roman"/>
          <w:color w:val="000000" w:themeColor="text1"/>
          <w:sz w:val="22"/>
        </w:rPr>
        <w:t xml:space="preserve">sformations </w:t>
      </w:r>
      <w:r w:rsidRPr="000C3BCD">
        <w:rPr>
          <w:rFonts w:cs="Times New Roman"/>
          <w:color w:val="000000" w:themeColor="text1"/>
          <w:sz w:val="22"/>
        </w:rPr>
        <w:t>designed to support a country's transition to net-zero emissions</w:t>
      </w:r>
      <w:r w:rsidR="00901607">
        <w:rPr>
          <w:rStyle w:val="FootnoteReference"/>
          <w:rFonts w:cs="Times New Roman"/>
          <w:color w:val="000000" w:themeColor="text1"/>
          <w:sz w:val="22"/>
        </w:rPr>
        <w:footnoteReference w:id="5"/>
      </w:r>
      <w:r w:rsidRPr="000C3BCD">
        <w:rPr>
          <w:rFonts w:cs="Times New Roman"/>
          <w:color w:val="000000" w:themeColor="text1"/>
          <w:sz w:val="22"/>
        </w:rPr>
        <w:t>. The portfolio draws on simulation outputs from SISEPUEDE</w:t>
      </w:r>
      <w:r w:rsidR="00F64E73">
        <w:rPr>
          <w:rStyle w:val="FootnoteReference"/>
          <w:rFonts w:cs="Times New Roman"/>
          <w:color w:val="000000" w:themeColor="text1"/>
          <w:sz w:val="22"/>
        </w:rPr>
        <w:footnoteReference w:id="6"/>
      </w:r>
      <w:r w:rsidR="007F3825">
        <w:rPr>
          <w:rFonts w:cs="Times New Roman"/>
          <w:color w:val="000000" w:themeColor="text1"/>
          <w:sz w:val="22"/>
        </w:rPr>
        <w:t xml:space="preserve">, </w:t>
      </w:r>
      <w:r w:rsidR="00BF7F63" w:rsidRPr="000C3BCD">
        <w:rPr>
          <w:rFonts w:cs="Times New Roman"/>
          <w:color w:val="000000" w:themeColor="text1"/>
          <w:sz w:val="22"/>
        </w:rPr>
        <w:t>a greenhouse gas emissions model (Kalra et al., 2023) that defines sector-level climate actions and simulates decarbonization scenarios given a country's economic structure and local characteristics. Climate investments are modeled as annual purchases deployed through investment flows over the analysis period, with expenditures determined by the cost structures of the green technologies and low-carbon activities introduced over time. For the employment analysis, we use MINDSET, a multi-</w:t>
      </w:r>
      <w:r w:rsidR="00BF7F63" w:rsidRPr="000C3BCD">
        <w:rPr>
          <w:rFonts w:cs="Times New Roman"/>
          <w:color w:val="000000" w:themeColor="text1"/>
          <w:sz w:val="22"/>
        </w:rPr>
        <w:lastRenderedPageBreak/>
        <w:t>regional input-output framework developed by the World Bank that draws on the GLORIA database</w:t>
      </w:r>
      <w:r w:rsidR="00070F06">
        <w:rPr>
          <w:rStyle w:val="FootnoteReference"/>
          <w:rFonts w:cs="Times New Roman"/>
          <w:color w:val="000000" w:themeColor="text1"/>
          <w:sz w:val="22"/>
        </w:rPr>
        <w:footnoteReference w:id="7"/>
      </w:r>
      <w:r w:rsidR="00236F44" w:rsidRPr="00B53765">
        <w:rPr>
          <w:rFonts w:cs="Times New Roman"/>
          <w:color w:val="000000" w:themeColor="text1"/>
          <w:sz w:val="22"/>
        </w:rPr>
        <w:t xml:space="preserve"> (</w:t>
      </w:r>
      <w:proofErr w:type="spellStart"/>
      <w:r w:rsidR="00236F44">
        <w:rPr>
          <w:rFonts w:cs="Times New Roman"/>
          <w:color w:val="000000" w:themeColor="text1"/>
          <w:sz w:val="22"/>
        </w:rPr>
        <w:t>Dorbrand</w:t>
      </w:r>
      <w:proofErr w:type="spellEnd"/>
      <w:r w:rsidR="00236F44">
        <w:rPr>
          <w:rFonts w:cs="Times New Roman"/>
          <w:color w:val="000000" w:themeColor="text1"/>
          <w:sz w:val="22"/>
        </w:rPr>
        <w:t xml:space="preserve"> et al., 2025</w:t>
      </w:r>
      <w:r w:rsidR="00236F44" w:rsidRPr="00B53765">
        <w:rPr>
          <w:rFonts w:cs="Times New Roman"/>
          <w:color w:val="000000" w:themeColor="text1"/>
          <w:sz w:val="22"/>
        </w:rPr>
        <w:t>)</w:t>
      </w:r>
      <w:r w:rsidR="00BF54B5">
        <w:rPr>
          <w:rFonts w:cs="Times New Roman"/>
          <w:color w:val="000000" w:themeColor="text1"/>
          <w:sz w:val="22"/>
        </w:rPr>
        <w:t xml:space="preserve">. </w:t>
      </w:r>
      <w:r w:rsidR="00BF54B5" w:rsidRPr="00B53765">
        <w:rPr>
          <w:rFonts w:cs="Times New Roman"/>
          <w:color w:val="000000" w:themeColor="text1"/>
          <w:sz w:val="22"/>
        </w:rPr>
        <w:t>Morocco is used</w:t>
      </w:r>
      <w:r w:rsidR="00BF54B5">
        <w:rPr>
          <w:rFonts w:cs="Times New Roman"/>
          <w:color w:val="000000" w:themeColor="text1"/>
          <w:sz w:val="22"/>
        </w:rPr>
        <w:t xml:space="preserve"> as our case study</w:t>
      </w:r>
      <w:r w:rsidR="00BF54B5" w:rsidRPr="00B53765">
        <w:rPr>
          <w:rFonts w:cs="Times New Roman"/>
          <w:color w:val="000000" w:themeColor="text1"/>
          <w:sz w:val="22"/>
        </w:rPr>
        <w:t xml:space="preserve"> to examine how transformation cost structures translate into employment estimates within a particular economic structure</w:t>
      </w:r>
      <w:r w:rsidR="009D2D3D">
        <w:rPr>
          <w:rFonts w:cs="Times New Roman"/>
          <w:color w:val="000000" w:themeColor="text1"/>
          <w:sz w:val="22"/>
        </w:rPr>
        <w:t>.</w:t>
      </w:r>
    </w:p>
    <w:p w14:paraId="7B8F590C" w14:textId="70BED3AC" w:rsidR="001A725F" w:rsidRDefault="00014E51" w:rsidP="00E74A51">
      <w:pPr>
        <w:spacing w:line="276" w:lineRule="auto"/>
        <w:ind w:firstLine="360"/>
        <w:jc w:val="both"/>
        <w:rPr>
          <w:rFonts w:cs="Times New Roman"/>
          <w:sz w:val="22"/>
        </w:rPr>
      </w:pPr>
      <w:r w:rsidRPr="00014E51">
        <w:rPr>
          <w:rFonts w:cs="Times New Roman"/>
          <w:color w:val="000000" w:themeColor="text1"/>
          <w:sz w:val="22"/>
        </w:rPr>
        <w:t xml:space="preserve">SISEPUEDE produces two scenario runs for Morocco </w:t>
      </w:r>
      <w:r w:rsidR="00976B20" w:rsidRPr="00976B20">
        <w:rPr>
          <w:rFonts w:cs="Times New Roman"/>
          <w:color w:val="000000" w:themeColor="text1"/>
          <w:sz w:val="22"/>
        </w:rPr>
        <w:t>over the analysis period</w:t>
      </w:r>
      <w:r w:rsidRPr="00014E51">
        <w:rPr>
          <w:rFonts w:cs="Times New Roman"/>
          <w:color w:val="000000" w:themeColor="text1"/>
          <w:sz w:val="22"/>
        </w:rPr>
        <w:t xml:space="preserve">. The baseline </w:t>
      </w:r>
      <w:r w:rsidR="00F7528F">
        <w:rPr>
          <w:rFonts w:cs="Times New Roman"/>
          <w:color w:val="000000" w:themeColor="text1"/>
          <w:sz w:val="22"/>
        </w:rPr>
        <w:t xml:space="preserve">scenario </w:t>
      </w:r>
      <w:r w:rsidR="00976B20" w:rsidRPr="00916AA2">
        <w:rPr>
          <w:rFonts w:cs="Times New Roman"/>
          <w:sz w:val="22"/>
        </w:rPr>
        <w:t>follows a</w:t>
      </w:r>
      <w:r w:rsidR="0084710F" w:rsidRPr="00916AA2">
        <w:rPr>
          <w:rFonts w:cs="Times New Roman"/>
          <w:sz w:val="22"/>
        </w:rPr>
        <w:t xml:space="preserve"> business</w:t>
      </w:r>
      <w:r w:rsidR="00FE7C9A" w:rsidRPr="00916AA2">
        <w:rPr>
          <w:rFonts w:cs="Times New Roman"/>
          <w:sz w:val="22"/>
        </w:rPr>
        <w:t>-</w:t>
      </w:r>
      <w:r w:rsidR="0084710F" w:rsidRPr="00916AA2">
        <w:rPr>
          <w:rFonts w:cs="Times New Roman"/>
          <w:sz w:val="22"/>
        </w:rPr>
        <w:t>as</w:t>
      </w:r>
      <w:r w:rsidR="00FE7C9A" w:rsidRPr="00916AA2">
        <w:rPr>
          <w:rFonts w:cs="Times New Roman"/>
          <w:sz w:val="22"/>
        </w:rPr>
        <w:t>-</w:t>
      </w:r>
      <w:r w:rsidR="0084710F" w:rsidRPr="00916AA2">
        <w:rPr>
          <w:rFonts w:cs="Times New Roman"/>
          <w:sz w:val="22"/>
        </w:rPr>
        <w:t>usual</w:t>
      </w:r>
      <w:r w:rsidR="00FE7C9A" w:rsidRPr="00916AA2">
        <w:rPr>
          <w:rFonts w:cs="Times New Roman"/>
          <w:sz w:val="22"/>
        </w:rPr>
        <w:t xml:space="preserve"> </w:t>
      </w:r>
      <w:r w:rsidR="00976B20" w:rsidRPr="00916AA2">
        <w:rPr>
          <w:rFonts w:cs="Times New Roman"/>
          <w:sz w:val="22"/>
        </w:rPr>
        <w:t>path</w:t>
      </w:r>
      <w:r w:rsidR="00465EFB" w:rsidRPr="00916AA2">
        <w:rPr>
          <w:rFonts w:cs="Times New Roman"/>
          <w:sz w:val="22"/>
        </w:rPr>
        <w:t xml:space="preserve"> (BAU)</w:t>
      </w:r>
      <w:r w:rsidR="0084710F" w:rsidRPr="00916AA2">
        <w:rPr>
          <w:rFonts w:cs="Times New Roman"/>
          <w:sz w:val="22"/>
        </w:rPr>
        <w:t xml:space="preserve"> </w:t>
      </w:r>
      <w:r w:rsidR="00192C81" w:rsidRPr="00916AA2">
        <w:rPr>
          <w:rFonts w:cs="Times New Roman"/>
          <w:sz w:val="22"/>
        </w:rPr>
        <w:t>consistent with historical development trajectories</w:t>
      </w:r>
      <w:r w:rsidR="00AE783B" w:rsidRPr="00916AA2">
        <w:rPr>
          <w:rFonts w:cs="Times New Roman"/>
          <w:sz w:val="22"/>
        </w:rPr>
        <w:t>,</w:t>
      </w:r>
      <w:r w:rsidR="00C1507F" w:rsidRPr="00916AA2">
        <w:rPr>
          <w:rStyle w:val="FootnoteReference"/>
          <w:rFonts w:cs="Times New Roman"/>
          <w:sz w:val="22"/>
        </w:rPr>
        <w:footnoteReference w:id="8"/>
      </w:r>
      <w:r w:rsidR="00F2646A" w:rsidRPr="00916AA2">
        <w:rPr>
          <w:rFonts w:cs="Times New Roman"/>
          <w:sz w:val="22"/>
        </w:rPr>
        <w:t xml:space="preserve"> </w:t>
      </w:r>
      <w:r w:rsidR="00E41B7F" w:rsidRPr="00916AA2">
        <w:rPr>
          <w:rFonts w:cs="Times New Roman"/>
          <w:sz w:val="22"/>
        </w:rPr>
        <w:t>including</w:t>
      </w:r>
      <w:r w:rsidR="00AB13D0" w:rsidRPr="00916AA2">
        <w:rPr>
          <w:rFonts w:cs="Times New Roman"/>
          <w:sz w:val="22"/>
        </w:rPr>
        <w:t xml:space="preserve"> modest</w:t>
      </w:r>
      <w:r w:rsidR="00F2646A" w:rsidRPr="00916AA2">
        <w:rPr>
          <w:rFonts w:cs="Times New Roman"/>
          <w:sz w:val="22"/>
        </w:rPr>
        <w:t xml:space="preserve"> </w:t>
      </w:r>
      <w:r w:rsidR="00AB13D0" w:rsidRPr="00916AA2">
        <w:rPr>
          <w:rFonts w:cs="Times New Roman"/>
          <w:sz w:val="22"/>
        </w:rPr>
        <w:t>improvements in</w:t>
      </w:r>
      <w:r w:rsidR="003123DA" w:rsidRPr="00916AA2">
        <w:rPr>
          <w:rFonts w:cs="Times New Roman"/>
          <w:sz w:val="22"/>
        </w:rPr>
        <w:t xml:space="preserve"> </w:t>
      </w:r>
      <w:r w:rsidR="00D94BC5" w:rsidRPr="00916AA2">
        <w:rPr>
          <w:rFonts w:cs="Times New Roman"/>
          <w:sz w:val="22"/>
        </w:rPr>
        <w:t xml:space="preserve">the </w:t>
      </w:r>
      <w:r w:rsidR="003123DA" w:rsidRPr="00916AA2">
        <w:rPr>
          <w:rFonts w:cs="Times New Roman"/>
          <w:sz w:val="22"/>
        </w:rPr>
        <w:t xml:space="preserve">transition to renewables and </w:t>
      </w:r>
      <w:r w:rsidR="00AB13D0" w:rsidRPr="00916AA2">
        <w:rPr>
          <w:rFonts w:cs="Times New Roman"/>
          <w:sz w:val="22"/>
        </w:rPr>
        <w:t xml:space="preserve">energy </w:t>
      </w:r>
      <w:r w:rsidR="00510EE2" w:rsidRPr="00916AA2">
        <w:rPr>
          <w:rFonts w:cs="Times New Roman"/>
          <w:sz w:val="22"/>
        </w:rPr>
        <w:t>efficiency</w:t>
      </w:r>
      <w:r w:rsidR="00A11F59" w:rsidRPr="00916AA2">
        <w:rPr>
          <w:rFonts w:cs="Times New Roman"/>
          <w:sz w:val="22"/>
        </w:rPr>
        <w:t xml:space="preserve">, </w:t>
      </w:r>
      <w:r w:rsidR="00D94BC5" w:rsidRPr="00916AA2">
        <w:rPr>
          <w:rFonts w:cs="Times New Roman"/>
          <w:sz w:val="22"/>
        </w:rPr>
        <w:t xml:space="preserve">while fossil fuels remain in use throughout the economy. The low-emissions pathway implements a portfolio of </w:t>
      </w:r>
      <w:r w:rsidR="00A20739">
        <w:rPr>
          <w:rFonts w:cs="Times New Roman"/>
          <w:sz w:val="22"/>
        </w:rPr>
        <w:t>18</w:t>
      </w:r>
      <w:r w:rsidR="00F63D3D">
        <w:rPr>
          <w:rFonts w:cs="Times New Roman"/>
          <w:sz w:val="22"/>
        </w:rPr>
        <w:t xml:space="preserve"> </w:t>
      </w:r>
      <w:r w:rsidR="00D94BC5" w:rsidRPr="00916AA2">
        <w:rPr>
          <w:rFonts w:cs="Times New Roman"/>
          <w:sz w:val="22"/>
        </w:rPr>
        <w:t>transformations across sectors at gradually increasing levels of implementation calibrated to achieve net-zero emissions.</w:t>
      </w:r>
      <w:r w:rsidR="00E52A9D" w:rsidRPr="00916AA2">
        <w:rPr>
          <w:rStyle w:val="FootnoteReference"/>
          <w:rFonts w:cs="Times New Roman"/>
          <w:sz w:val="22"/>
        </w:rPr>
        <w:footnoteReference w:id="9"/>
      </w:r>
      <w:r w:rsidRPr="00916AA2">
        <w:rPr>
          <w:rFonts w:cs="Times New Roman"/>
          <w:sz w:val="22"/>
        </w:rPr>
        <w:t xml:space="preserve"> </w:t>
      </w:r>
      <w:r w:rsidR="001A725F" w:rsidRPr="001A725F">
        <w:rPr>
          <w:rFonts w:cs="Times New Roman"/>
          <w:sz w:val="22"/>
        </w:rPr>
        <w:t xml:space="preserve">For each transformation, we take the difference between the two runs in the SISEPUEDE output variable that tracks its physical effect, such as industrial energy </w:t>
      </w:r>
      <w:r w:rsidR="001A725F" w:rsidRPr="00E74A51">
        <w:rPr>
          <w:rFonts w:cs="Times New Roman"/>
          <w:sz w:val="22"/>
        </w:rPr>
        <w:t xml:space="preserve">consumption or emissions avoided, and multiply that difference by a unit cost to </w:t>
      </w:r>
      <w:r w:rsidR="00E529FC">
        <w:rPr>
          <w:rFonts w:cs="Times New Roman"/>
          <w:sz w:val="22"/>
        </w:rPr>
        <w:t>build</w:t>
      </w:r>
      <w:r w:rsidR="001A725F" w:rsidRPr="00E74A51">
        <w:rPr>
          <w:rFonts w:cs="Times New Roman"/>
          <w:sz w:val="22"/>
        </w:rPr>
        <w:t xml:space="preserve"> an annual </w:t>
      </w:r>
      <w:r w:rsidR="00E74A51" w:rsidRPr="00E74A51">
        <w:rPr>
          <w:rFonts w:cs="Times New Roman"/>
          <w:sz w:val="22"/>
        </w:rPr>
        <w:t>investment</w:t>
      </w:r>
      <w:r w:rsidR="001A725F" w:rsidRPr="00E74A51">
        <w:rPr>
          <w:rFonts w:cs="Times New Roman"/>
          <w:sz w:val="22"/>
        </w:rPr>
        <w:t xml:space="preserve"> flow</w:t>
      </w:r>
      <w:r w:rsidR="00E74A51" w:rsidRPr="00E74A51">
        <w:rPr>
          <w:rFonts w:cs="Times New Roman"/>
          <w:sz w:val="22"/>
        </w:rPr>
        <w:t>, reported in constant USD</w:t>
      </w:r>
      <w:r w:rsidR="00243668" w:rsidRPr="00E74A51">
        <w:rPr>
          <w:rFonts w:cs="Times New Roman"/>
          <w:sz w:val="22"/>
        </w:rPr>
        <w:t>.</w:t>
      </w:r>
      <w:r w:rsidR="00243668" w:rsidRPr="00E74A51">
        <w:rPr>
          <w:rFonts w:ascii="Arial" w:hAnsi="Arial" w:cs="Arial"/>
          <w:shd w:val="clear" w:color="auto" w:fill="FFFFFF"/>
        </w:rPr>
        <w:t xml:space="preserve"> </w:t>
      </w:r>
      <w:r w:rsidR="00A02651" w:rsidRPr="00A02651">
        <w:rPr>
          <w:rFonts w:cs="Times New Roman"/>
          <w:sz w:val="22"/>
        </w:rPr>
        <w:t>These flows define the amount and timing of spending or savings over the analysis period</w:t>
      </w:r>
      <w:r w:rsidR="00243668" w:rsidRPr="00243668">
        <w:rPr>
          <w:rFonts w:cs="Times New Roman"/>
          <w:sz w:val="22"/>
        </w:rPr>
        <w:t>.</w:t>
      </w:r>
    </w:p>
    <w:p w14:paraId="74FF8A08" w14:textId="77777777" w:rsidR="00901607" w:rsidRDefault="00706E26" w:rsidP="00ED57FD">
      <w:pPr>
        <w:spacing w:line="276" w:lineRule="auto"/>
        <w:ind w:firstLine="360"/>
        <w:jc w:val="both"/>
        <w:rPr>
          <w:rFonts w:cs="Times New Roman"/>
          <w:color w:val="000000" w:themeColor="text1"/>
          <w:sz w:val="22"/>
        </w:rPr>
      </w:pPr>
      <w:r w:rsidRPr="00ED57FD">
        <w:rPr>
          <w:rFonts w:cs="Times New Roman"/>
          <w:color w:val="000000" w:themeColor="text1"/>
          <w:sz w:val="22"/>
        </w:rPr>
        <w:t>We use transformation-specific cost structures, drawn from the climate literature, to allocate each monetary flow across the sectors that supply the relevant goods and services. For each expenditure or savings line, the cost structure provides a sectoral composition that is used to construct a demand vector, defined as a weighted bundle of products in the input-output table. The weights are calculated as the relative share of each cost component mapped to its corresponding producing sector</w:t>
      </w:r>
      <w:r w:rsidR="008C39FC">
        <w:rPr>
          <w:rFonts w:cs="Times New Roman"/>
          <w:color w:val="000000" w:themeColor="text1"/>
          <w:sz w:val="22"/>
        </w:rPr>
        <w:t xml:space="preserve"> and sum to one</w:t>
      </w:r>
      <w:r w:rsidRPr="00ED57FD">
        <w:rPr>
          <w:rFonts w:cs="Times New Roman"/>
          <w:color w:val="000000" w:themeColor="text1"/>
          <w:sz w:val="22"/>
        </w:rPr>
        <w:t xml:space="preserve"> (Miller and Blair, 2022; Garrett-Peltier, 2017). </w:t>
      </w:r>
      <w:r w:rsidR="00612A9A" w:rsidRPr="00612A9A">
        <w:rPr>
          <w:rFonts w:cs="Times New Roman"/>
          <w:color w:val="000000" w:themeColor="text1"/>
          <w:sz w:val="22"/>
        </w:rPr>
        <w:t xml:space="preserve">The shares </w:t>
      </w:r>
      <w:r w:rsidR="008C39FC">
        <w:rPr>
          <w:rFonts w:cs="Times New Roman"/>
          <w:color w:val="000000" w:themeColor="text1"/>
          <w:sz w:val="22"/>
        </w:rPr>
        <w:t>are used to</w:t>
      </w:r>
      <w:r w:rsidR="00612A9A" w:rsidRPr="00612A9A">
        <w:rPr>
          <w:rFonts w:cs="Times New Roman"/>
          <w:color w:val="000000" w:themeColor="text1"/>
          <w:sz w:val="22"/>
        </w:rPr>
        <w:t xml:space="preserve"> allocate the monetary flow across GLORIA's 120 products, which we aggregate to </w:t>
      </w:r>
      <w:r w:rsidR="00F92DC6">
        <w:rPr>
          <w:rFonts w:cs="Times New Roman"/>
          <w:color w:val="000000" w:themeColor="text1"/>
          <w:sz w:val="22"/>
        </w:rPr>
        <w:t>20</w:t>
      </w:r>
      <w:r w:rsidR="00612A9A" w:rsidRPr="00612A9A">
        <w:rPr>
          <w:rFonts w:cs="Times New Roman"/>
          <w:color w:val="000000" w:themeColor="text1"/>
          <w:sz w:val="22"/>
        </w:rPr>
        <w:t xml:space="preserve"> sectors for reporting</w:t>
      </w:r>
      <w:r w:rsidRPr="00ED57FD">
        <w:rPr>
          <w:rFonts w:cs="Times New Roman"/>
          <w:color w:val="000000" w:themeColor="text1"/>
          <w:sz w:val="22"/>
        </w:rPr>
        <w:t>.</w:t>
      </w:r>
      <w:r w:rsidR="00DA3EC7" w:rsidRPr="00ED57FD">
        <w:rPr>
          <w:rStyle w:val="FootnoteReference"/>
          <w:rFonts w:cs="Times New Roman"/>
          <w:color w:val="000000" w:themeColor="text1"/>
          <w:sz w:val="22"/>
        </w:rPr>
        <w:footnoteReference w:id="10"/>
      </w:r>
      <w:r w:rsidRPr="00ED57FD">
        <w:rPr>
          <w:rFonts w:cs="Times New Roman"/>
          <w:color w:val="000000" w:themeColor="text1"/>
          <w:sz w:val="22"/>
        </w:rPr>
        <w:t xml:space="preserve"> </w:t>
      </w:r>
      <w:r w:rsidR="00D909C2" w:rsidRPr="00ED57FD">
        <w:rPr>
          <w:rFonts w:cs="Times New Roman"/>
          <w:color w:val="000000" w:themeColor="text1"/>
          <w:sz w:val="22"/>
        </w:rPr>
        <w:t xml:space="preserve">Savings enter as negative final demand and are assigned to the supply-chain industries associated with the fossil fuels that are no longer purchased, rather than to the industries receiving the investment. Electrifying light-duty vehicles, for example, produces one line for vehicle and charging-equipment purchases and a separate negative line for fuel that is no longer purchased. The latter withdraws demand from products linked to petroleum, chemicals, and transport activities. </w:t>
      </w:r>
      <w:r w:rsidR="00DE652A" w:rsidRPr="00ED57FD">
        <w:rPr>
          <w:rFonts w:cs="Times New Roman"/>
          <w:color w:val="000000" w:themeColor="text1"/>
          <w:sz w:val="22"/>
        </w:rPr>
        <w:t xml:space="preserve">In short, SISEPUEDE generates the monetary flows, while the cost structures determine their sectoral allocation. </w:t>
      </w:r>
    </w:p>
    <w:p w14:paraId="46A19BDB" w14:textId="5AAB343A" w:rsidR="00706E26" w:rsidRPr="00ED57FD" w:rsidRDefault="0021190B" w:rsidP="00ED57FD">
      <w:pPr>
        <w:spacing w:line="276" w:lineRule="auto"/>
        <w:ind w:firstLine="360"/>
        <w:jc w:val="both"/>
        <w:rPr>
          <w:rFonts w:cs="Times New Roman"/>
          <w:color w:val="000000" w:themeColor="text1"/>
          <w:sz w:val="22"/>
        </w:rPr>
      </w:pPr>
      <w:r w:rsidRPr="00ED57FD">
        <w:rPr>
          <w:rFonts w:cs="Times New Roman"/>
          <w:color w:val="000000" w:themeColor="text1"/>
          <w:sz w:val="22"/>
        </w:rPr>
        <w:t xml:space="preserve">Employment factors, including the labor share of an industry's output, and inter-industry linkages are drawn from GLORIA, which uses 2019 as its base year and includes bilateral trade flows </w:t>
      </w:r>
      <w:r w:rsidR="00D909C2" w:rsidRPr="00ED57FD">
        <w:rPr>
          <w:rFonts w:cs="Times New Roman"/>
          <w:color w:val="000000" w:themeColor="text1"/>
          <w:sz w:val="22"/>
        </w:rPr>
        <w:t xml:space="preserve">(Lenzen et al., 2022). In </w:t>
      </w:r>
      <w:r w:rsidR="00223B4A">
        <w:rPr>
          <w:rFonts w:cs="Times New Roman"/>
          <w:color w:val="000000" w:themeColor="text1"/>
          <w:sz w:val="22"/>
        </w:rPr>
        <w:t>our</w:t>
      </w:r>
      <w:r w:rsidR="00D909C2" w:rsidRPr="00ED57FD">
        <w:rPr>
          <w:rFonts w:cs="Times New Roman"/>
          <w:color w:val="000000" w:themeColor="text1"/>
          <w:sz w:val="22"/>
        </w:rPr>
        <w:t xml:space="preserve"> case study, MINDSET applies Morocco's 2019 trade patterns, domestic production shares, and sector-specific employment coefficients when translating demand into jobs.</w:t>
      </w:r>
      <w:r w:rsidR="00F8545F" w:rsidRPr="00ED57FD">
        <w:rPr>
          <w:rFonts w:cs="Times New Roman"/>
          <w:color w:val="000000" w:themeColor="text1"/>
          <w:sz w:val="22"/>
        </w:rPr>
        <w:t xml:space="preserve"> </w:t>
      </w:r>
      <w:r w:rsidR="00901607" w:rsidRPr="00901607">
        <w:rPr>
          <w:rFonts w:cs="Times New Roman"/>
          <w:color w:val="000000" w:themeColor="text1"/>
          <w:sz w:val="22"/>
        </w:rPr>
        <w:t>Figure 1 provides an overview of the pipeline, showing the quantity carried at each step and the separate paths that expenditure and savings follow before rejoining in the employment step.</w:t>
      </w:r>
    </w:p>
    <w:p w14:paraId="60A99338" w14:textId="7792B61F" w:rsidR="0002508F" w:rsidRDefault="007A3C5C" w:rsidP="00B53765">
      <w:pPr>
        <w:spacing w:line="276" w:lineRule="auto"/>
        <w:ind w:firstLine="360"/>
        <w:jc w:val="both"/>
        <w:rPr>
          <w:rFonts w:cs="Times New Roman"/>
          <w:color w:val="000000" w:themeColor="text1"/>
          <w:sz w:val="22"/>
        </w:rPr>
      </w:pPr>
      <w:r w:rsidRPr="007A3C5C">
        <w:rPr>
          <w:rFonts w:cs="Times New Roman"/>
          <w:color w:val="000000" w:themeColor="text1"/>
          <w:sz w:val="22"/>
        </w:rPr>
        <w:t>In principle, cost structures could vary with deployment scale as the composition of expenditure changes with technological maturity</w:t>
      </w:r>
      <w:r w:rsidR="00F85CF5">
        <w:rPr>
          <w:rFonts w:cs="Times New Roman"/>
          <w:color w:val="000000" w:themeColor="text1"/>
          <w:sz w:val="22"/>
        </w:rPr>
        <w:t>.</w:t>
      </w:r>
      <w:r w:rsidR="00594C10">
        <w:rPr>
          <w:rFonts w:cs="Times New Roman"/>
          <w:color w:val="000000" w:themeColor="text1"/>
          <w:sz w:val="22"/>
        </w:rPr>
        <w:t xml:space="preserve"> </w:t>
      </w:r>
      <w:r w:rsidRPr="007A3C5C">
        <w:rPr>
          <w:rFonts w:cs="Times New Roman"/>
          <w:color w:val="000000" w:themeColor="text1"/>
          <w:sz w:val="22"/>
        </w:rPr>
        <w:t>Early-stage climate investments may be capital-intensive and concentrated in equipment and construction, often with high import content</w:t>
      </w:r>
      <w:r w:rsidR="00750379">
        <w:rPr>
          <w:rFonts w:cs="Times New Roman"/>
          <w:color w:val="000000" w:themeColor="text1"/>
          <w:sz w:val="22"/>
        </w:rPr>
        <w:t xml:space="preserve"> (</w:t>
      </w:r>
      <w:r w:rsidR="00A011FE" w:rsidRPr="00A011FE">
        <w:rPr>
          <w:sz w:val="22"/>
          <w:szCs w:val="20"/>
        </w:rPr>
        <w:t>Bücker</w:t>
      </w:r>
      <w:r w:rsidR="00A011FE">
        <w:rPr>
          <w:sz w:val="22"/>
          <w:szCs w:val="20"/>
        </w:rPr>
        <w:t xml:space="preserve"> et al., 2025</w:t>
      </w:r>
      <w:r w:rsidR="00750379">
        <w:rPr>
          <w:rFonts w:cs="Times New Roman"/>
          <w:color w:val="000000" w:themeColor="text1"/>
          <w:sz w:val="22"/>
        </w:rPr>
        <w:t>)</w:t>
      </w:r>
      <w:r w:rsidRPr="007A3C5C">
        <w:rPr>
          <w:rFonts w:cs="Times New Roman"/>
          <w:color w:val="000000" w:themeColor="text1"/>
          <w:sz w:val="22"/>
        </w:rPr>
        <w:t xml:space="preserve">. As </w:t>
      </w:r>
      <w:r w:rsidRPr="007A3C5C">
        <w:rPr>
          <w:rFonts w:cs="Times New Roman"/>
          <w:color w:val="000000" w:themeColor="text1"/>
          <w:sz w:val="22"/>
        </w:rPr>
        <w:lastRenderedPageBreak/>
        <w:t xml:space="preserve">deployment expands, operational expenditure may account for a larger share of total spending and direct more demand toward domestically supplied maintenance and services. </w:t>
      </w:r>
      <w:r w:rsidR="00FB23A4" w:rsidRPr="00FB23A4">
        <w:rPr>
          <w:rFonts w:cs="Times New Roman"/>
          <w:color w:val="000000" w:themeColor="text1"/>
          <w:sz w:val="22"/>
        </w:rPr>
        <w:t xml:space="preserve">In the present implementation, time variation in cost structures arises only where a transformation depends on the </w:t>
      </w:r>
      <w:r w:rsidR="009C74AD">
        <w:rPr>
          <w:rFonts w:cs="Times New Roman"/>
          <w:color w:val="000000" w:themeColor="text1"/>
          <w:sz w:val="22"/>
        </w:rPr>
        <w:t xml:space="preserve">annual </w:t>
      </w:r>
      <w:r w:rsidR="00FB23A4" w:rsidRPr="00FB23A4">
        <w:rPr>
          <w:rFonts w:cs="Times New Roman"/>
          <w:color w:val="000000" w:themeColor="text1"/>
          <w:sz w:val="22"/>
        </w:rPr>
        <w:t>electricity-generation mix.</w:t>
      </w:r>
      <w:r w:rsidR="009C74AD">
        <w:rPr>
          <w:rFonts w:cs="Times New Roman"/>
          <w:color w:val="000000" w:themeColor="text1"/>
          <w:sz w:val="22"/>
        </w:rPr>
        <w:t xml:space="preserve"> </w:t>
      </w:r>
      <w:r w:rsidR="00B44966" w:rsidRPr="00B44966">
        <w:rPr>
          <w:rFonts w:cs="Times New Roman"/>
          <w:color w:val="000000" w:themeColor="text1"/>
          <w:sz w:val="22"/>
        </w:rPr>
        <w:t>The mix changes over time as the scenario converges toward a generation profile consistent with net-zero emissions.</w:t>
      </w:r>
    </w:p>
    <w:p w14:paraId="1CB08C0E" w14:textId="1B72FE8B" w:rsidR="00F64D59" w:rsidRDefault="00B53765" w:rsidP="000431CA">
      <w:pPr>
        <w:spacing w:line="276" w:lineRule="auto"/>
        <w:ind w:firstLine="360"/>
        <w:jc w:val="both"/>
        <w:rPr>
          <w:rFonts w:cs="Times New Roman"/>
          <w:color w:val="000000" w:themeColor="text1"/>
          <w:sz w:val="22"/>
        </w:rPr>
      </w:pPr>
      <w:r w:rsidRPr="00B53765">
        <w:rPr>
          <w:rFonts w:cs="Times New Roman"/>
          <w:color w:val="000000" w:themeColor="text1"/>
          <w:sz w:val="22"/>
        </w:rPr>
        <w:t>MINDSET translates cost structures into employment estimates under a demand-led</w:t>
      </w:r>
      <w:r w:rsidR="00E71371">
        <w:rPr>
          <w:rFonts w:cs="Times New Roman"/>
          <w:color w:val="000000" w:themeColor="text1"/>
          <w:sz w:val="22"/>
        </w:rPr>
        <w:t xml:space="preserve"> model</w:t>
      </w:r>
      <w:r w:rsidR="0002508F">
        <w:rPr>
          <w:rFonts w:cs="Times New Roman"/>
          <w:color w:val="000000" w:themeColor="text1"/>
          <w:sz w:val="22"/>
        </w:rPr>
        <w:t xml:space="preserve"> that</w:t>
      </w:r>
      <w:r w:rsidR="00E71371">
        <w:rPr>
          <w:rFonts w:cs="Times New Roman"/>
          <w:color w:val="000000" w:themeColor="text1"/>
          <w:sz w:val="22"/>
        </w:rPr>
        <w:t xml:space="preserve"> </w:t>
      </w:r>
      <w:r w:rsidRPr="00B53765">
        <w:rPr>
          <w:rFonts w:cs="Times New Roman"/>
          <w:color w:val="000000" w:themeColor="text1"/>
          <w:sz w:val="22"/>
        </w:rPr>
        <w:t>assumes spare capacity and involuntary unemployment</w:t>
      </w:r>
      <w:r w:rsidR="00356024">
        <w:rPr>
          <w:rFonts w:cs="Times New Roman"/>
          <w:color w:val="000000" w:themeColor="text1"/>
          <w:sz w:val="22"/>
        </w:rPr>
        <w:t xml:space="preserve"> (</w:t>
      </w:r>
      <w:proofErr w:type="spellStart"/>
      <w:r w:rsidR="009176D8">
        <w:rPr>
          <w:rFonts w:cs="Times New Roman"/>
          <w:color w:val="000000" w:themeColor="text1"/>
          <w:sz w:val="22"/>
        </w:rPr>
        <w:t>Dorbrand</w:t>
      </w:r>
      <w:proofErr w:type="spellEnd"/>
      <w:r w:rsidR="009176D8">
        <w:rPr>
          <w:rFonts w:cs="Times New Roman"/>
          <w:color w:val="000000" w:themeColor="text1"/>
          <w:sz w:val="22"/>
        </w:rPr>
        <w:t xml:space="preserve"> et al., 2025</w:t>
      </w:r>
      <w:r w:rsidR="00356024">
        <w:rPr>
          <w:rFonts w:cs="Times New Roman"/>
          <w:color w:val="000000" w:themeColor="text1"/>
          <w:sz w:val="22"/>
        </w:rPr>
        <w:t>)</w:t>
      </w:r>
      <w:r w:rsidRPr="00B53765">
        <w:rPr>
          <w:rFonts w:cs="Times New Roman"/>
          <w:color w:val="000000" w:themeColor="text1"/>
          <w:sz w:val="22"/>
        </w:rPr>
        <w:t xml:space="preserve">. Under this assumption, demand shocks </w:t>
      </w:r>
      <w:r w:rsidR="007C5062">
        <w:rPr>
          <w:rFonts w:cs="Times New Roman"/>
          <w:color w:val="000000" w:themeColor="text1"/>
          <w:sz w:val="22"/>
        </w:rPr>
        <w:t>generate</w:t>
      </w:r>
      <w:r w:rsidRPr="00B53765">
        <w:rPr>
          <w:rFonts w:cs="Times New Roman"/>
          <w:color w:val="000000" w:themeColor="text1"/>
          <w:sz w:val="22"/>
        </w:rPr>
        <w:t xml:space="preserve"> additional output without crowding out other activity or requiring factor reallocation</w:t>
      </w:r>
      <w:r w:rsidR="00EB795E">
        <w:rPr>
          <w:rFonts w:cs="Times New Roman"/>
          <w:color w:val="000000" w:themeColor="text1"/>
          <w:sz w:val="22"/>
        </w:rPr>
        <w:t>.</w:t>
      </w:r>
      <w:r w:rsidR="00CF30B3">
        <w:rPr>
          <w:rStyle w:val="FootnoteReference"/>
          <w:rFonts w:cs="Times New Roman"/>
          <w:color w:val="000000" w:themeColor="text1"/>
          <w:sz w:val="22"/>
        </w:rPr>
        <w:footnoteReference w:id="11"/>
      </w:r>
      <w:r w:rsidRPr="00B53765">
        <w:rPr>
          <w:rFonts w:cs="Times New Roman"/>
          <w:color w:val="000000" w:themeColor="text1"/>
          <w:sz w:val="22"/>
        </w:rPr>
        <w:t xml:space="preserve"> </w:t>
      </w:r>
      <w:r w:rsidR="0060075A" w:rsidRPr="0060075A">
        <w:rPr>
          <w:rFonts w:cs="Times New Roman"/>
          <w:color w:val="000000" w:themeColor="text1"/>
          <w:sz w:val="22"/>
        </w:rPr>
        <w:t>The calculation combines the Leontief inverse and employment coefficients derived from GLORIA with trade shares computed from its final-demand tables</w:t>
      </w:r>
      <w:r w:rsidR="005835B1" w:rsidRPr="005835B1">
        <w:rPr>
          <w:rFonts w:cs="Times New Roman"/>
          <w:color w:val="000000" w:themeColor="text1"/>
          <w:sz w:val="22"/>
        </w:rPr>
        <w:t>. In the input-output framework, the Leontief inverse traces the direct and indirect output required throughout supply chains to meet a given change in final demand (Miller and Blair, 2022). Trade shares then determine the portion of product demand supplied domestically rather than imported and, in turn, the portion that can generate domestic employment.</w:t>
      </w:r>
      <w:r w:rsidR="0023284F">
        <w:rPr>
          <w:rFonts w:cs="Times New Roman"/>
          <w:color w:val="000000" w:themeColor="text1"/>
          <w:sz w:val="22"/>
        </w:rPr>
        <w:t xml:space="preserve"> </w:t>
      </w:r>
      <w:r w:rsidR="0023284F" w:rsidRPr="0023284F">
        <w:rPr>
          <w:rFonts w:cs="Times New Roman"/>
          <w:color w:val="000000" w:themeColor="text1"/>
          <w:sz w:val="22"/>
        </w:rPr>
        <w:t xml:space="preserve">Employment coefficients then translate the resulting output changes into </w:t>
      </w:r>
      <w:r w:rsidR="0023284F">
        <w:rPr>
          <w:rFonts w:cs="Times New Roman"/>
          <w:color w:val="000000" w:themeColor="text1"/>
          <w:sz w:val="22"/>
        </w:rPr>
        <w:t xml:space="preserve">direct and indirect </w:t>
      </w:r>
      <w:r w:rsidR="0023284F" w:rsidRPr="0023284F">
        <w:rPr>
          <w:rFonts w:cs="Times New Roman"/>
          <w:color w:val="000000" w:themeColor="text1"/>
          <w:sz w:val="22"/>
        </w:rPr>
        <w:t>jobs. The estimates use this demand-driven quantity and employment channel, with prices held at their base-year values. They are therefore conditional on transformation-level cost structures, Morocco's input-output structure, trade shares, and employment factors.</w:t>
      </w:r>
      <w:r w:rsidR="005B29AB">
        <w:rPr>
          <w:rFonts w:cs="Times New Roman"/>
          <w:color w:val="000000" w:themeColor="text1"/>
          <w:sz w:val="22"/>
        </w:rPr>
        <w:t xml:space="preserve"> </w:t>
      </w:r>
      <w:r w:rsidR="005B29AB" w:rsidRPr="005B29AB">
        <w:rPr>
          <w:rFonts w:cs="Times New Roman"/>
          <w:color w:val="000000" w:themeColor="text1"/>
          <w:sz w:val="22"/>
        </w:rPr>
        <w:t>Figure 1 summarizes the pipeline, showing the quantity carried at each step and the separate paths that expenditure and savings follow before they rejoin in the employment estimates.</w:t>
      </w:r>
    </w:p>
    <w:p w14:paraId="582E14EF" w14:textId="3B412E05" w:rsidR="00E24446" w:rsidRDefault="00E24446" w:rsidP="00E24446">
      <w:pPr>
        <w:spacing w:line="276" w:lineRule="auto"/>
        <w:ind w:firstLine="360"/>
        <w:jc w:val="center"/>
        <w:rPr>
          <w:rFonts w:cs="Times New Roman"/>
          <w:color w:val="000000" w:themeColor="text1"/>
          <w:sz w:val="22"/>
        </w:rPr>
      </w:pPr>
      <w:r w:rsidRPr="00E24446">
        <w:rPr>
          <w:rFonts w:cs="Times New Roman"/>
          <w:color w:val="000000" w:themeColor="text1"/>
          <w:sz w:val="20"/>
          <w:szCs w:val="20"/>
        </w:rPr>
        <w:t>Figure 1. Overview of the estimation pipeline</w:t>
      </w:r>
    </w:p>
    <w:p w14:paraId="77173C31" w14:textId="7E225F1D" w:rsidR="00E24446" w:rsidRDefault="00ED4C6C" w:rsidP="00E24446">
      <w:pPr>
        <w:spacing w:line="276" w:lineRule="auto"/>
        <w:ind w:firstLine="360"/>
        <w:jc w:val="center"/>
        <w:rPr>
          <w:rFonts w:cs="Times New Roman"/>
          <w:color w:val="000000" w:themeColor="text1"/>
          <w:sz w:val="22"/>
        </w:rPr>
      </w:pPr>
      <w:r>
        <w:rPr>
          <w:rFonts w:cs="Times New Roman"/>
          <w:noProof/>
          <w:color w:val="000000" w:themeColor="text1"/>
          <w:sz w:val="22"/>
        </w:rPr>
        <w:drawing>
          <wp:inline distT="0" distB="0" distL="0" distR="0" wp14:anchorId="07A7E6E8" wp14:editId="39CF8711">
            <wp:extent cx="5192707" cy="1626847"/>
            <wp:effectExtent l="0" t="0" r="0" b="0"/>
            <wp:docPr id="1850482890"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82890" name="Graphic 1850482890"/>
                    <pic:cNvPicPr/>
                  </pic:nvPicPr>
                  <pic:blipFill rotWithShape="1">
                    <a:blip r:embed="rId8">
                      <a:extLst>
                        <a:ext uri="{96DAC541-7B7A-43D3-8B79-37D633B846F1}">
                          <asvg:svgBlip xmlns:asvg="http://schemas.microsoft.com/office/drawing/2016/SVG/main" r:embed="rId9"/>
                        </a:ext>
                      </a:extLst>
                    </a:blip>
                    <a:srcRect l="4531" t="7978" r="8059" b="2990"/>
                    <a:stretch>
                      <a:fillRect/>
                    </a:stretch>
                  </pic:blipFill>
                  <pic:spPr bwMode="auto">
                    <a:xfrm>
                      <a:off x="0" y="0"/>
                      <a:ext cx="5195270" cy="1627650"/>
                    </a:xfrm>
                    <a:prstGeom prst="rect">
                      <a:avLst/>
                    </a:prstGeom>
                    <a:ln>
                      <a:noFill/>
                    </a:ln>
                    <a:extLst>
                      <a:ext uri="{53640926-AAD7-44D8-BBD7-CCE9431645EC}">
                        <a14:shadowObscured xmlns:a14="http://schemas.microsoft.com/office/drawing/2010/main"/>
                      </a:ext>
                    </a:extLst>
                  </pic:spPr>
                </pic:pic>
              </a:graphicData>
            </a:graphic>
          </wp:inline>
        </w:drawing>
      </w:r>
    </w:p>
    <w:p w14:paraId="620FCAEA" w14:textId="5CF135AC" w:rsidR="00085A40" w:rsidRPr="0092276B" w:rsidRDefault="00C33023" w:rsidP="0092276B">
      <w:pPr>
        <w:pStyle w:val="Heading2"/>
        <w:numPr>
          <w:ilvl w:val="1"/>
          <w:numId w:val="10"/>
        </w:numPr>
        <w:rPr>
          <w:rFonts w:ascii="Times New Roman" w:hAnsi="Times New Roman" w:cs="Times New Roman"/>
        </w:rPr>
      </w:pPr>
      <w:r>
        <w:rPr>
          <w:rFonts w:ascii="Times New Roman" w:hAnsi="Times New Roman" w:cs="Times New Roman"/>
        </w:rPr>
        <w:t>Employment multipliers</w:t>
      </w:r>
    </w:p>
    <w:p w14:paraId="6F07FB43" w14:textId="310B3974" w:rsidR="006D2D8D" w:rsidRPr="0039552A" w:rsidRDefault="006D2D8D" w:rsidP="006D2D8D">
      <w:pPr>
        <w:spacing w:line="276" w:lineRule="auto"/>
        <w:ind w:firstLine="360"/>
        <w:jc w:val="both"/>
        <w:rPr>
          <w:rFonts w:cs="Times New Roman"/>
          <w:color w:val="000000" w:themeColor="text1"/>
          <w:sz w:val="22"/>
        </w:rPr>
      </w:pPr>
      <w:r w:rsidRPr="0039552A">
        <w:rPr>
          <w:rFonts w:cs="Times New Roman"/>
          <w:color w:val="000000" w:themeColor="text1"/>
          <w:sz w:val="22"/>
        </w:rPr>
        <w:t xml:space="preserve">To compute employment effects, we use GLORIA at its 120-product resolution. Rather than include an explicit “Rest of the World” block that consolidates the database's remaining 162 regions, we account for imports at two points. First, only the share of final demand for each product that is met by domestic producers enters the calculation. </w:t>
      </w:r>
      <w:r w:rsidR="00C24294">
        <w:rPr>
          <w:rFonts w:cs="Times New Roman"/>
          <w:color w:val="000000" w:themeColor="text1"/>
          <w:sz w:val="22"/>
        </w:rPr>
        <w:t>Second, t</w:t>
      </w:r>
      <w:r w:rsidRPr="0039552A">
        <w:rPr>
          <w:rFonts w:cs="Times New Roman"/>
          <w:color w:val="000000" w:themeColor="text1"/>
          <w:sz w:val="22"/>
        </w:rPr>
        <w:t xml:space="preserve">he </w:t>
      </w:r>
      <w:r w:rsidR="00037B55" w:rsidRPr="0039552A">
        <w:rPr>
          <w:rFonts w:cs="Times New Roman"/>
          <w:color w:val="000000" w:themeColor="text1"/>
          <w:sz w:val="22"/>
        </w:rPr>
        <w:t xml:space="preserve">Leontief </w:t>
      </w:r>
      <w:r w:rsidRPr="0039552A">
        <w:rPr>
          <w:rFonts w:cs="Times New Roman"/>
          <w:color w:val="000000" w:themeColor="text1"/>
          <w:sz w:val="22"/>
        </w:rPr>
        <w:t>inverse</w:t>
      </w:r>
      <w:r w:rsidR="002F758C" w:rsidRPr="0039552A">
        <w:rPr>
          <w:rFonts w:cs="Times New Roman"/>
          <w:color w:val="000000" w:themeColor="text1"/>
          <w:sz w:val="22"/>
        </w:rPr>
        <w:t xml:space="preserve"> –</w:t>
      </w:r>
      <w:r w:rsidR="009B1AE8" w:rsidRPr="0039552A">
        <w:rPr>
          <w:rFonts w:cs="Times New Roman"/>
          <w:color w:val="000000" w:themeColor="text1"/>
          <w:sz w:val="22"/>
        </w:rPr>
        <w:t xml:space="preserve"> </w:t>
      </w:r>
      <m:oMath>
        <m:sSup>
          <m:sSupPr>
            <m:ctrlPr>
              <w:rPr>
                <w:rFonts w:ascii="Cambria Math" w:hAnsi="Cambria Math" w:cs="Times New Roman"/>
                <w:color w:val="000000" w:themeColor="text1"/>
                <w:sz w:val="22"/>
              </w:rPr>
            </m:ctrlPr>
          </m:sSupPr>
          <m:e>
            <m:d>
              <m:dPr>
                <m:sepChr m:val="−"/>
                <m:ctrlPr>
                  <w:rPr>
                    <w:rFonts w:ascii="Cambria Math" w:hAnsi="Cambria Math" w:cs="Times New Roman"/>
                    <w:color w:val="000000" w:themeColor="text1"/>
                    <w:sz w:val="22"/>
                  </w:rPr>
                </m:ctrlPr>
              </m:dPr>
              <m:e>
                <m:sSub>
                  <m:sSubPr>
                    <m:ctrlPr>
                      <w:rPr>
                        <w:rFonts w:ascii="Cambria Math" w:hAnsi="Cambria Math" w:cs="Times New Roman"/>
                        <w:color w:val="000000" w:themeColor="text1"/>
                        <w:sz w:val="22"/>
                      </w:rPr>
                    </m:ctrlPr>
                  </m:sSubPr>
                  <m:e>
                    <m:r>
                      <w:rPr>
                        <w:rFonts w:ascii="Cambria Math" w:hAnsi="Cambria Math" w:cs="Times New Roman"/>
                        <w:color w:val="000000" w:themeColor="text1"/>
                        <w:sz w:val="22"/>
                      </w:rPr>
                      <m:t>I</m:t>
                    </m:r>
                  </m:e>
                  <m:sub>
                    <m:r>
                      <w:rPr>
                        <w:rFonts w:ascii="Cambria Math" w:hAnsi="Cambria Math" w:cs="Times New Roman"/>
                        <w:color w:val="000000" w:themeColor="text1"/>
                        <w:sz w:val="22"/>
                      </w:rPr>
                      <m:t>120×120</m:t>
                    </m:r>
                  </m:sub>
                </m:sSub>
              </m:e>
              <m:e>
                <m:sSub>
                  <m:sSubPr>
                    <m:ctrlPr>
                      <w:rPr>
                        <w:rFonts w:ascii="Cambria Math" w:hAnsi="Cambria Math" w:cs="Times New Roman"/>
                        <w:color w:val="000000" w:themeColor="text1"/>
                        <w:sz w:val="22"/>
                      </w:rPr>
                    </m:ctrlPr>
                  </m:sSubPr>
                  <m:e>
                    <m:r>
                      <w:rPr>
                        <w:rFonts w:ascii="Cambria Math" w:hAnsi="Cambria Math" w:cs="Times New Roman"/>
                        <w:color w:val="000000" w:themeColor="text1"/>
                        <w:sz w:val="22"/>
                      </w:rPr>
                      <m:t>A</m:t>
                    </m:r>
                  </m:e>
                  <m:sub>
                    <m:r>
                      <w:rPr>
                        <w:rFonts w:ascii="Cambria Math" w:hAnsi="Cambria Math" w:cs="Times New Roman"/>
                        <w:color w:val="000000" w:themeColor="text1"/>
                        <w:sz w:val="22"/>
                      </w:rPr>
                      <m:t>120×120</m:t>
                    </m:r>
                  </m:sub>
                </m:sSub>
              </m:e>
            </m:d>
          </m:e>
          <m:sup>
            <m:r>
              <w:rPr>
                <w:rFonts w:ascii="Cambria Math" w:hAnsi="Cambria Math" w:cs="Times New Roman"/>
                <w:color w:val="000000" w:themeColor="text1"/>
                <w:sz w:val="22"/>
              </w:rPr>
              <m:t>-1</m:t>
            </m:r>
          </m:sup>
        </m:sSup>
      </m:oMath>
      <w:r w:rsidR="002F758C" w:rsidRPr="0039552A">
        <w:rPr>
          <w:rFonts w:cs="Times New Roman"/>
          <w:color w:val="000000" w:themeColor="text1"/>
          <w:sz w:val="22"/>
        </w:rPr>
        <w:t xml:space="preserve"> –</w:t>
      </w:r>
      <w:r w:rsidR="000C4D39" w:rsidRPr="0039552A">
        <w:rPr>
          <w:rFonts w:cs="Times New Roman"/>
          <w:color w:val="000000" w:themeColor="text1"/>
          <w:sz w:val="22"/>
        </w:rPr>
        <w:t xml:space="preserve"> </w:t>
      </w:r>
      <w:r w:rsidRPr="0039552A">
        <w:rPr>
          <w:rFonts w:cs="Times New Roman"/>
          <w:color w:val="000000" w:themeColor="text1"/>
          <w:sz w:val="22"/>
        </w:rPr>
        <w:t xml:space="preserve">traces the supply-chain effects of this demand through the multi-regional system, while employment is retained only for domestic output. Equation 1 </w:t>
      </w:r>
      <w:proofErr w:type="gramStart"/>
      <w:r w:rsidRPr="0039552A">
        <w:rPr>
          <w:rFonts w:cs="Times New Roman"/>
          <w:color w:val="000000" w:themeColor="text1"/>
          <w:sz w:val="22"/>
        </w:rPr>
        <w:t>gives</w:t>
      </w:r>
      <w:proofErr w:type="gramEnd"/>
      <w:r w:rsidRPr="0039552A">
        <w:rPr>
          <w:rFonts w:cs="Times New Roman"/>
          <w:color w:val="000000" w:themeColor="text1"/>
          <w:sz w:val="22"/>
        </w:rPr>
        <w:t xml:space="preserve"> the change in domestic output associated with a change in final demand. </w:t>
      </w:r>
      <w:r w:rsidR="00B31699" w:rsidRPr="0039552A">
        <w:rPr>
          <w:rFonts w:cs="Times New Roman"/>
          <w:color w:val="000000" w:themeColor="text1"/>
          <w:sz w:val="22"/>
        </w:rPr>
        <w:t xml:space="preserve">Equation 2 converts that output change into employment by pre-multiplying it with an employment-output matrix, which provides the number of workers per unit of output in each industry, </w:t>
      </w:r>
      <w:r w:rsidR="00B31699" w:rsidRPr="0039552A">
        <w:rPr>
          <w:rFonts w:cs="Times New Roman"/>
          <w:color w:val="000000" w:themeColor="text1"/>
          <w:sz w:val="22"/>
        </w:rPr>
        <w:lastRenderedPageBreak/>
        <w:t>producing the employment-requirement (ER) table.</w:t>
      </w:r>
      <w:r w:rsidR="000A5466" w:rsidRPr="0039552A">
        <w:rPr>
          <w:rFonts w:cs="Times New Roman"/>
          <w:color w:val="000000" w:themeColor="text1"/>
          <w:sz w:val="22"/>
        </w:rPr>
        <w:t xml:space="preserve"> </w:t>
      </w:r>
      <w:r w:rsidR="0026059B" w:rsidRPr="0039552A">
        <w:rPr>
          <w:rFonts w:cs="Times New Roman"/>
          <w:color w:val="000000" w:themeColor="text1"/>
          <w:sz w:val="22"/>
        </w:rPr>
        <w:t>Direct employment captures the jobs in the industry supplying the product purchased, and indirect employment covers the jobs generated along its supply chain</w:t>
      </w:r>
      <w:r w:rsidR="00C20F8D" w:rsidRPr="0039552A">
        <w:rPr>
          <w:rFonts w:cs="Times New Roman"/>
          <w:color w:val="000000" w:themeColor="text1"/>
          <w:sz w:val="22"/>
        </w:rPr>
        <w:t xml:space="preserve"> </w:t>
      </w:r>
      <w:r w:rsidR="005F0DFE" w:rsidRPr="0039552A">
        <w:rPr>
          <w:rFonts w:cs="Times New Roman"/>
          <w:color w:val="000000" w:themeColor="text1"/>
          <w:sz w:val="22"/>
        </w:rPr>
        <w:t>(Equation 3).</w:t>
      </w:r>
      <w:r w:rsidR="0055529A" w:rsidRPr="0039552A">
        <w:rPr>
          <w:rFonts w:cs="Times New Roman"/>
          <w:color w:val="000000" w:themeColor="text1"/>
          <w:sz w:val="22"/>
        </w:rPr>
        <w:t xml:space="preserve"> </w:t>
      </w:r>
      <w:r w:rsidRPr="0039552A">
        <w:rPr>
          <w:rFonts w:cs="Times New Roman"/>
          <w:color w:val="000000" w:themeColor="text1"/>
          <w:sz w:val="22"/>
        </w:rPr>
        <w:t xml:space="preserve">Because demand vectors </w:t>
      </w:r>
      <w:r w:rsidR="00AF5987" w:rsidRPr="0039552A">
        <w:rPr>
          <w:rFonts w:cs="Times New Roman"/>
          <w:color w:val="000000" w:themeColor="text1"/>
          <w:sz w:val="22"/>
        </w:rPr>
        <w:t>are</w:t>
      </w:r>
      <w:r w:rsidRPr="0039552A">
        <w:rPr>
          <w:rFonts w:cs="Times New Roman"/>
          <w:color w:val="000000" w:themeColor="text1"/>
          <w:sz w:val="22"/>
        </w:rPr>
        <w:t xml:space="preserve"> </w:t>
      </w:r>
      <w:r w:rsidR="00C37389" w:rsidRPr="0039552A">
        <w:rPr>
          <w:rFonts w:cs="Times New Roman"/>
          <w:color w:val="000000" w:themeColor="text1"/>
          <w:sz w:val="22"/>
        </w:rPr>
        <w:t>separated</w:t>
      </w:r>
      <w:r w:rsidRPr="0039552A">
        <w:rPr>
          <w:rFonts w:cs="Times New Roman"/>
          <w:color w:val="000000" w:themeColor="text1"/>
          <w:sz w:val="22"/>
        </w:rPr>
        <w:t xml:space="preserve"> by </w:t>
      </w:r>
      <w:r w:rsidR="00E35115" w:rsidRPr="0039552A">
        <w:rPr>
          <w:rFonts w:cs="Times New Roman"/>
          <w:color w:val="000000" w:themeColor="text1"/>
          <w:sz w:val="22"/>
        </w:rPr>
        <w:t>transformation</w:t>
      </w:r>
      <w:r w:rsidRPr="0039552A">
        <w:rPr>
          <w:rFonts w:cs="Times New Roman"/>
          <w:color w:val="000000" w:themeColor="text1"/>
          <w:sz w:val="22"/>
        </w:rPr>
        <w:t xml:space="preserve"> and year, employment can be reported by landing sector and as annual totals over the 33-year period, as shown in Equation 4.</w:t>
      </w:r>
    </w:p>
    <w:p w14:paraId="4E3F4776" w14:textId="1A67FA35" w:rsidR="000470CA" w:rsidRPr="0039552A" w:rsidRDefault="00736D87" w:rsidP="0039552A">
      <w:pPr>
        <w:spacing w:line="276" w:lineRule="auto"/>
        <w:ind w:firstLine="360"/>
        <w:jc w:val="both"/>
        <w:rPr>
          <w:rFonts w:cs="Times New Roman"/>
          <w:color w:val="000000" w:themeColor="text1"/>
          <w:sz w:val="22"/>
        </w:rPr>
      </w:pPr>
      <w:r w:rsidRPr="0039552A">
        <w:rPr>
          <w:rFonts w:cs="Times New Roman"/>
          <w:color w:val="000000" w:themeColor="text1"/>
          <w:sz w:val="22"/>
        </w:rPr>
        <w:t xml:space="preserve">In these expressions, </w:t>
      </w:r>
      <m:oMath>
        <m:r>
          <m:rPr>
            <m:sty m:val="p"/>
          </m:rPr>
          <w:rPr>
            <w:rFonts w:ascii="Cambria Math" w:hAnsi="Cambria Math" w:cs="Times New Roman"/>
            <w:color w:val="000000" w:themeColor="text1"/>
            <w:sz w:val="22"/>
          </w:rPr>
          <m:t>Δ</m:t>
        </m:r>
        <m:sSub>
          <m:sSubPr>
            <m:ctrlPr>
              <w:rPr>
                <w:rFonts w:ascii="Cambria Math" w:hAnsi="Cambria Math" w:cs="Times New Roman"/>
                <w:color w:val="000000" w:themeColor="text1"/>
                <w:sz w:val="22"/>
              </w:rPr>
            </m:ctrlPr>
          </m:sSubPr>
          <m:e>
            <m:r>
              <m:rPr>
                <m:sty m:val="p"/>
              </m:rPr>
              <w:rPr>
                <w:rFonts w:ascii="Cambria Math" w:hAnsi="Cambria Math" w:cs="Times New Roman"/>
                <w:color w:val="000000" w:themeColor="text1"/>
                <w:sz w:val="22"/>
              </w:rPr>
              <m:t>y</m:t>
            </m:r>
          </m:e>
          <m:sub>
            <m:r>
              <w:rPr>
                <w:rFonts w:ascii="Cambria Math" w:hAnsi="Cambria Math" w:cs="Times New Roman"/>
                <w:color w:val="000000" w:themeColor="text1"/>
                <w:sz w:val="22"/>
              </w:rPr>
              <m:t>j,t</m:t>
            </m:r>
          </m:sub>
        </m:sSub>
      </m:oMath>
      <w:r w:rsidRPr="0039552A">
        <w:rPr>
          <w:rFonts w:cs="Times New Roman"/>
          <w:color w:val="000000" w:themeColor="text1"/>
          <w:sz w:val="22"/>
        </w:rPr>
        <w:t xml:space="preserve"> is the demand vector for transformation </w:t>
      </w:r>
      <m:oMath>
        <m:r>
          <w:rPr>
            <w:rFonts w:ascii="Cambria Math" w:hAnsi="Cambria Math" w:cs="Times New Roman"/>
            <w:color w:val="000000" w:themeColor="text1"/>
            <w:sz w:val="22"/>
          </w:rPr>
          <m:t>j</m:t>
        </m:r>
      </m:oMath>
      <w:r w:rsidRPr="0039552A">
        <w:rPr>
          <w:rFonts w:cs="Times New Roman"/>
          <w:color w:val="000000" w:themeColor="text1"/>
          <w:sz w:val="22"/>
        </w:rPr>
        <w:t xml:space="preserve"> in year </w:t>
      </w:r>
      <m:oMath>
        <m:r>
          <w:rPr>
            <w:rFonts w:ascii="Cambria Math" w:hAnsi="Cambria Math" w:cs="Times New Roman"/>
            <w:color w:val="000000" w:themeColor="text1"/>
            <w:sz w:val="22"/>
          </w:rPr>
          <m:t>t</m:t>
        </m:r>
      </m:oMath>
      <w:r w:rsidRPr="0039552A">
        <w:rPr>
          <w:rFonts w:cs="Times New Roman"/>
          <w:color w:val="000000" w:themeColor="text1"/>
          <w:sz w:val="22"/>
        </w:rPr>
        <w:t xml:space="preserve">, built from its cost structure and expressed in thousands of USD. </w:t>
      </w:r>
      <m:oMath>
        <m:r>
          <m:rPr>
            <m:sty m:val="p"/>
          </m:rPr>
          <w:rPr>
            <w:rFonts w:ascii="Cambria Math" w:hAnsi="Cambria Math" w:cs="Times New Roman"/>
            <w:color w:val="000000" w:themeColor="text1"/>
            <w:sz w:val="22"/>
          </w:rPr>
          <m:t>A</m:t>
        </m:r>
      </m:oMath>
      <w:r w:rsidRPr="0039552A">
        <w:rPr>
          <w:rFonts w:cs="Times New Roman"/>
          <w:color w:val="000000" w:themeColor="text1"/>
          <w:sz w:val="22"/>
        </w:rPr>
        <w:t xml:space="preserve"> is the </w:t>
      </w:r>
      <w:r w:rsidR="005E0E29" w:rsidRPr="0039552A">
        <w:rPr>
          <w:rFonts w:cs="Times New Roman"/>
          <w:color w:val="000000" w:themeColor="text1"/>
          <w:sz w:val="22"/>
        </w:rPr>
        <w:t xml:space="preserve">technology </w:t>
      </w:r>
      <w:r w:rsidRPr="0039552A">
        <w:rPr>
          <w:rFonts w:cs="Times New Roman"/>
          <w:color w:val="000000" w:themeColor="text1"/>
          <w:sz w:val="22"/>
        </w:rPr>
        <w:t>matrix</w:t>
      </w:r>
      <w:r w:rsidR="000E0CD2" w:rsidRPr="0039552A">
        <w:rPr>
          <w:rFonts w:cs="Times New Roman"/>
          <w:color w:val="000000" w:themeColor="text1"/>
          <w:sz w:val="22"/>
        </w:rPr>
        <w:t xml:space="preserve"> for domestic production</w:t>
      </w:r>
      <w:r w:rsidR="00FF570D" w:rsidRPr="0039552A">
        <w:rPr>
          <w:rFonts w:cs="Times New Roman"/>
          <w:color w:val="000000" w:themeColor="text1"/>
          <w:sz w:val="22"/>
        </w:rPr>
        <w:t>,</w:t>
      </w:r>
      <w:r w:rsidR="00FF570D" w:rsidRPr="0039552A">
        <w:rPr>
          <w:color w:val="000000" w:themeColor="text1"/>
        </w:rPr>
        <w:t xml:space="preserve"> w</w:t>
      </w:r>
      <w:r w:rsidR="00FF570D" w:rsidRPr="0039552A">
        <w:rPr>
          <w:rFonts w:cs="Times New Roman"/>
          <w:color w:val="000000" w:themeColor="text1"/>
          <w:sz w:val="22"/>
        </w:rPr>
        <w:t>hich measure</w:t>
      </w:r>
      <w:r w:rsidR="003250F2" w:rsidRPr="0039552A">
        <w:rPr>
          <w:rFonts w:cs="Times New Roman"/>
          <w:color w:val="000000" w:themeColor="text1"/>
          <w:sz w:val="22"/>
        </w:rPr>
        <w:t>s</w:t>
      </w:r>
      <w:r w:rsidR="00FF570D" w:rsidRPr="0039552A">
        <w:rPr>
          <w:rFonts w:cs="Times New Roman"/>
          <w:color w:val="000000" w:themeColor="text1"/>
          <w:sz w:val="22"/>
        </w:rPr>
        <w:t xml:space="preserve"> how much input from </w:t>
      </w:r>
      <w:r w:rsidR="000E0CD2" w:rsidRPr="0039552A">
        <w:rPr>
          <w:rFonts w:cs="Times New Roman"/>
          <w:color w:val="000000" w:themeColor="text1"/>
          <w:sz w:val="22"/>
        </w:rPr>
        <w:t>one</w:t>
      </w:r>
      <w:r w:rsidR="00FF570D" w:rsidRPr="0039552A">
        <w:rPr>
          <w:rFonts w:cs="Times New Roman"/>
          <w:color w:val="000000" w:themeColor="text1"/>
          <w:sz w:val="22"/>
        </w:rPr>
        <w:t xml:space="preserve"> sector is needed</w:t>
      </w:r>
      <w:r w:rsidR="003250F2" w:rsidRPr="0039552A">
        <w:rPr>
          <w:rFonts w:cs="Times New Roman"/>
          <w:color w:val="000000" w:themeColor="text1"/>
          <w:sz w:val="22"/>
        </w:rPr>
        <w:t xml:space="preserve"> </w:t>
      </w:r>
      <w:r w:rsidR="00FF570D" w:rsidRPr="0039552A">
        <w:rPr>
          <w:rFonts w:cs="Times New Roman"/>
          <w:color w:val="000000" w:themeColor="text1"/>
          <w:sz w:val="22"/>
        </w:rPr>
        <w:t>to produce one unit of output in another sector</w:t>
      </w:r>
      <w:r w:rsidRPr="0039552A">
        <w:rPr>
          <w:rFonts w:cs="Times New Roman"/>
          <w:color w:val="000000" w:themeColor="text1"/>
          <w:sz w:val="22"/>
        </w:rPr>
        <w:t xml:space="preserve">. </w:t>
      </w:r>
      <m:oMath>
        <m:sSup>
          <m:sSupPr>
            <m:ctrlPr>
              <w:rPr>
                <w:rFonts w:ascii="Cambria Math" w:hAnsi="Cambria Math" w:cs="Times New Roman"/>
                <w:color w:val="000000" w:themeColor="text1"/>
                <w:sz w:val="22"/>
              </w:rPr>
            </m:ctrlPr>
          </m:sSupPr>
          <m:e>
            <m:d>
              <m:dPr>
                <m:ctrlPr>
                  <w:rPr>
                    <w:rFonts w:ascii="Cambria Math" w:hAnsi="Cambria Math" w:cs="Times New Roman"/>
                    <w:color w:val="000000" w:themeColor="text1"/>
                    <w:sz w:val="22"/>
                  </w:rPr>
                </m:ctrlPr>
              </m:dPr>
              <m:e>
                <m:r>
                  <m:rPr>
                    <m:sty m:val="p"/>
                  </m:rPr>
                  <w:rPr>
                    <w:rFonts w:ascii="Cambria Math" w:hAnsi="Cambria Math" w:cs="Times New Roman"/>
                    <w:color w:val="000000" w:themeColor="text1"/>
                    <w:sz w:val="22"/>
                  </w:rPr>
                  <m:t>I</m:t>
                </m:r>
                <m:r>
                  <w:rPr>
                    <w:rFonts w:ascii="Cambria Math" w:hAnsi="Cambria Math" w:cs="Times New Roman"/>
                    <w:color w:val="000000" w:themeColor="text1"/>
                    <w:sz w:val="22"/>
                  </w:rPr>
                  <m:t>-</m:t>
                </m:r>
                <m:r>
                  <m:rPr>
                    <m:sty m:val="p"/>
                  </m:rPr>
                  <w:rPr>
                    <w:rFonts w:ascii="Cambria Math" w:hAnsi="Cambria Math" w:cs="Times New Roman"/>
                    <w:color w:val="000000" w:themeColor="text1"/>
                    <w:sz w:val="22"/>
                  </w:rPr>
                  <m:t>A</m:t>
                </m:r>
              </m:e>
            </m:d>
          </m:e>
          <m:sup>
            <m:r>
              <w:rPr>
                <w:rFonts w:ascii="Cambria Math" w:hAnsi="Cambria Math" w:cs="Times New Roman"/>
                <w:color w:val="000000" w:themeColor="text1"/>
                <w:sz w:val="22"/>
              </w:rPr>
              <m:t>-1</m:t>
            </m:r>
          </m:sup>
        </m:sSup>
      </m:oMath>
      <w:r w:rsidR="00C72F28" w:rsidRPr="0039552A">
        <w:rPr>
          <w:rFonts w:cs="Times New Roman"/>
          <w:color w:val="000000" w:themeColor="text1"/>
          <w:sz w:val="22"/>
        </w:rPr>
        <w:t xml:space="preserve"> is the resulting Leontief inverse</w:t>
      </w:r>
      <w:r w:rsidRPr="0039552A">
        <w:rPr>
          <w:rFonts w:cs="Times New Roman"/>
          <w:color w:val="000000" w:themeColor="text1"/>
          <w:sz w:val="22"/>
        </w:rPr>
        <w:t xml:space="preserve">. </w:t>
      </w:r>
      <m:oMath>
        <m:acc>
          <m:accPr>
            <m:ctrlPr>
              <w:rPr>
                <w:rFonts w:ascii="Cambria Math" w:hAnsi="Cambria Math" w:cs="Times New Roman"/>
                <w:color w:val="000000" w:themeColor="text1"/>
                <w:sz w:val="22"/>
              </w:rPr>
            </m:ctrlPr>
          </m:accPr>
          <m:e>
            <m:r>
              <m:rPr>
                <m:sty m:val="p"/>
              </m:rPr>
              <w:rPr>
                <w:rFonts w:ascii="Cambria Math" w:hAnsi="Cambria Math" w:cs="Times New Roman"/>
                <w:color w:val="000000" w:themeColor="text1"/>
                <w:sz w:val="22"/>
              </w:rPr>
              <m:t>s</m:t>
            </m:r>
          </m:e>
        </m:acc>
      </m:oMath>
      <w:r w:rsidRPr="0039552A">
        <w:rPr>
          <w:rFonts w:cs="Times New Roman"/>
          <w:color w:val="000000" w:themeColor="text1"/>
          <w:sz w:val="22"/>
        </w:rPr>
        <w:t xml:space="preserve"> and </w:t>
      </w:r>
      <m:oMath>
        <m:acc>
          <m:accPr>
            <m:ctrlPr>
              <w:rPr>
                <w:rFonts w:ascii="Cambria Math" w:hAnsi="Cambria Math" w:cs="Times New Roman"/>
                <w:color w:val="000000" w:themeColor="text1"/>
                <w:sz w:val="22"/>
              </w:rPr>
            </m:ctrlPr>
          </m:accPr>
          <m:e>
            <m:r>
              <m:rPr>
                <m:sty m:val="p"/>
              </m:rPr>
              <w:rPr>
                <w:rFonts w:ascii="Cambria Math" w:hAnsi="Cambria Math" w:cs="Times New Roman"/>
                <w:color w:val="000000" w:themeColor="text1"/>
                <w:sz w:val="22"/>
              </w:rPr>
              <m:t>e</m:t>
            </m:r>
          </m:e>
        </m:acc>
      </m:oMath>
      <w:r w:rsidRPr="0039552A">
        <w:rPr>
          <w:rFonts w:cs="Times New Roman"/>
          <w:color w:val="000000" w:themeColor="text1"/>
          <w:sz w:val="22"/>
        </w:rPr>
        <w:t xml:space="preserve"> are diagonal matrices of domestic supply shares and employment coefficients, respectively. The element </w:t>
      </w:r>
      <m:oMath>
        <m:r>
          <w:rPr>
            <w:rFonts w:ascii="Cambria Math" w:hAnsi="Cambria Math" w:cs="Times New Roman"/>
            <w:color w:val="000000" w:themeColor="text1"/>
            <w:sz w:val="22"/>
          </w:rPr>
          <m:t>E</m:t>
        </m:r>
        <m:sSub>
          <m:sSubPr>
            <m:ctrlPr>
              <w:rPr>
                <w:rFonts w:ascii="Cambria Math" w:hAnsi="Cambria Math" w:cs="Times New Roman"/>
                <w:color w:val="000000" w:themeColor="text1"/>
                <w:sz w:val="22"/>
              </w:rPr>
            </m:ctrlPr>
          </m:sSubPr>
          <m:e>
            <m:r>
              <w:rPr>
                <w:rFonts w:ascii="Cambria Math" w:hAnsi="Cambria Math" w:cs="Times New Roman"/>
                <w:color w:val="000000" w:themeColor="text1"/>
                <w:sz w:val="22"/>
              </w:rPr>
              <m:t>R</m:t>
            </m:r>
          </m:e>
          <m:sub>
            <m:r>
              <w:rPr>
                <w:rFonts w:ascii="Cambria Math" w:hAnsi="Cambria Math" w:cs="Times New Roman"/>
                <w:color w:val="000000" w:themeColor="text1"/>
                <w:sz w:val="22"/>
              </w:rPr>
              <m:t>i,p</m:t>
            </m:r>
          </m:sub>
        </m:sSub>
      </m:oMath>
      <w:r w:rsidRPr="0039552A">
        <w:rPr>
          <w:rFonts w:cs="Times New Roman"/>
          <w:color w:val="000000" w:themeColor="text1"/>
          <w:sz w:val="22"/>
        </w:rPr>
        <w:t xml:space="preserve"> gives domestic jobs in product </w:t>
      </w:r>
      <m:oMath>
        <m:r>
          <w:rPr>
            <w:rFonts w:ascii="Cambria Math" w:hAnsi="Cambria Math" w:cs="Times New Roman"/>
            <w:color w:val="000000" w:themeColor="text1"/>
            <w:sz w:val="22"/>
          </w:rPr>
          <m:t>i</m:t>
        </m:r>
      </m:oMath>
      <w:r w:rsidRPr="0039552A">
        <w:rPr>
          <w:rFonts w:cs="Times New Roman"/>
          <w:color w:val="000000" w:themeColor="text1"/>
          <w:sz w:val="22"/>
        </w:rPr>
        <w:t xml:space="preserve"> per thousand USD of final demand booked to product </w:t>
      </w:r>
      <m:oMath>
        <m:r>
          <w:rPr>
            <w:rFonts w:ascii="Cambria Math" w:hAnsi="Cambria Math" w:cs="Times New Roman"/>
            <w:color w:val="000000" w:themeColor="text1"/>
            <w:sz w:val="22"/>
          </w:rPr>
          <m:t>p</m:t>
        </m:r>
      </m:oMath>
      <w:r w:rsidRPr="0039552A">
        <w:rPr>
          <w:rFonts w:cs="Times New Roman"/>
          <w:color w:val="000000" w:themeColor="text1"/>
          <w:sz w:val="22"/>
        </w:rPr>
        <w:t xml:space="preserve">. </w:t>
      </w:r>
      <m:oMath>
        <m:r>
          <w:rPr>
            <w:rFonts w:ascii="Cambria Math" w:hAnsi="Cambria Math" w:cs="Times New Roman"/>
            <w:color w:val="000000" w:themeColor="text1"/>
            <w:sz w:val="22"/>
          </w:rPr>
          <m:t>E</m:t>
        </m:r>
        <m:sSup>
          <m:sSupPr>
            <m:ctrlPr>
              <w:rPr>
                <w:rFonts w:ascii="Cambria Math" w:hAnsi="Cambria Math" w:cs="Times New Roman"/>
                <w:color w:val="000000" w:themeColor="text1"/>
                <w:sz w:val="22"/>
              </w:rPr>
            </m:ctrlPr>
          </m:sSupPr>
          <m:e>
            <m:r>
              <w:rPr>
                <w:rFonts w:ascii="Cambria Math" w:hAnsi="Cambria Math" w:cs="Times New Roman"/>
                <w:color w:val="000000" w:themeColor="text1"/>
                <w:sz w:val="22"/>
              </w:rPr>
              <m:t>R</m:t>
            </m:r>
          </m:e>
          <m:sup>
            <m:r>
              <w:rPr>
                <w:rFonts w:ascii="Cambria Math" w:hAnsi="Cambria Math" w:cs="Times New Roman"/>
                <w:color w:val="000000" w:themeColor="text1"/>
                <w:sz w:val="22"/>
              </w:rPr>
              <m:t>dir</m:t>
            </m:r>
          </m:sup>
        </m:sSup>
      </m:oMath>
      <w:r w:rsidR="0071153F">
        <w:rPr>
          <w:rFonts w:cs="Times New Roman"/>
          <w:color w:val="000000" w:themeColor="text1"/>
          <w:sz w:val="22"/>
        </w:rPr>
        <w:t xml:space="preserve"> </w:t>
      </w:r>
      <w:r w:rsidRPr="0039552A">
        <w:rPr>
          <w:rFonts w:cs="Times New Roman"/>
          <w:color w:val="000000" w:themeColor="text1"/>
          <w:sz w:val="22"/>
        </w:rPr>
        <w:t xml:space="preserve">is </w:t>
      </w:r>
      <w:r w:rsidR="0071153F">
        <w:rPr>
          <w:rFonts w:cs="Times New Roman"/>
          <w:color w:val="000000" w:themeColor="text1"/>
          <w:sz w:val="22"/>
        </w:rPr>
        <w:t>captures</w:t>
      </w:r>
      <w:r w:rsidRPr="0039552A">
        <w:rPr>
          <w:rFonts w:cs="Times New Roman"/>
          <w:color w:val="000000" w:themeColor="text1"/>
          <w:sz w:val="22"/>
        </w:rPr>
        <w:t xml:space="preserve"> direct employment. Subscripts </w:t>
      </w:r>
      <m:oMath>
        <m:r>
          <w:rPr>
            <w:rFonts w:ascii="Cambria Math" w:hAnsi="Cambria Math" w:cs="Times New Roman"/>
            <w:color w:val="000000" w:themeColor="text1"/>
            <w:sz w:val="22"/>
          </w:rPr>
          <m:t>j</m:t>
        </m:r>
      </m:oMath>
      <w:r w:rsidRPr="0039552A">
        <w:rPr>
          <w:rFonts w:cs="Times New Roman"/>
          <w:color w:val="000000" w:themeColor="text1"/>
          <w:sz w:val="22"/>
        </w:rPr>
        <w:t xml:space="preserve"> and </w:t>
      </w:r>
      <m:oMath>
        <m:r>
          <w:rPr>
            <w:rFonts w:ascii="Cambria Math" w:hAnsi="Cambria Math" w:cs="Times New Roman"/>
            <w:color w:val="000000" w:themeColor="text1"/>
            <w:sz w:val="22"/>
          </w:rPr>
          <m:t>t</m:t>
        </m:r>
      </m:oMath>
      <w:r w:rsidRPr="0039552A">
        <w:rPr>
          <w:rFonts w:cs="Times New Roman"/>
          <w:color w:val="000000" w:themeColor="text1"/>
          <w:sz w:val="22"/>
        </w:rPr>
        <w:t xml:space="preserve"> index transformations and years in the analysis period, respectively. Subscript </w:t>
      </w:r>
      <m:oMath>
        <m:r>
          <w:rPr>
            <w:rFonts w:ascii="Cambria Math" w:hAnsi="Cambria Math" w:cs="Times New Roman"/>
            <w:color w:val="000000" w:themeColor="text1"/>
            <w:sz w:val="22"/>
          </w:rPr>
          <m:t>k</m:t>
        </m:r>
      </m:oMath>
      <w:r w:rsidRPr="0039552A">
        <w:rPr>
          <w:rFonts w:cs="Times New Roman"/>
          <w:color w:val="000000" w:themeColor="text1"/>
          <w:sz w:val="22"/>
        </w:rPr>
        <w:t xml:space="preserve"> indexes the reporting sectors. </w:t>
      </w:r>
      <m:oMath>
        <m:sSub>
          <m:sSubPr>
            <m:ctrlPr>
              <w:rPr>
                <w:rFonts w:ascii="Cambria Math" w:hAnsi="Cambria Math" w:cs="Times New Roman"/>
                <w:color w:val="000000" w:themeColor="text1"/>
                <w:sz w:val="22"/>
              </w:rPr>
            </m:ctrlPr>
          </m:sSubPr>
          <m:e>
            <m:r>
              <w:rPr>
                <w:rFonts w:ascii="Cambria Math" w:hAnsi="Cambria Math" w:cs="Times New Roman"/>
                <w:color w:val="000000" w:themeColor="text1"/>
                <w:sz w:val="22"/>
              </w:rPr>
              <m:t>N</m:t>
            </m:r>
          </m:e>
          <m:sub>
            <m:r>
              <w:rPr>
                <w:rFonts w:ascii="Cambria Math" w:hAnsi="Cambria Math" w:cs="Times New Roman"/>
                <w:color w:val="000000" w:themeColor="text1"/>
                <w:sz w:val="22"/>
              </w:rPr>
              <m:t>t</m:t>
            </m:r>
          </m:sub>
        </m:sSub>
      </m:oMath>
      <w:r w:rsidRPr="0039552A">
        <w:rPr>
          <w:rFonts w:cs="Times New Roman"/>
          <w:color w:val="000000" w:themeColor="text1"/>
          <w:sz w:val="22"/>
        </w:rPr>
        <w:t xml:space="preserve"> is the number of jobs supported in year </w:t>
      </w:r>
      <m:oMath>
        <m:r>
          <w:rPr>
            <w:rFonts w:ascii="Cambria Math" w:hAnsi="Cambria Math" w:cs="Times New Roman"/>
            <w:color w:val="000000" w:themeColor="text1"/>
            <w:sz w:val="22"/>
          </w:rPr>
          <m:t>t</m:t>
        </m:r>
      </m:oMath>
      <w:r w:rsidRPr="0039552A">
        <w:rPr>
          <w:rFonts w:cs="Times New Roman"/>
          <w:color w:val="000000" w:themeColor="text1"/>
          <w:sz w:val="22"/>
        </w:rPr>
        <w:t xml:space="preserve">. </w:t>
      </w:r>
      <w:r w:rsidR="00C03AF7" w:rsidRPr="00C03AF7">
        <w:rPr>
          <w:rFonts w:cs="Times New Roman"/>
          <w:color w:val="000000" w:themeColor="text1"/>
          <w:sz w:val="22"/>
        </w:rPr>
        <w:t>For Morocco, the calculation applies the country's 2019 domestic supply shares, production structure, and product-specific employment coefficients when translating demand into jobs. All input-output procedures, including matrix extraction and employment calculations, are documented in Python and R and are available in the Supplementary Materials.</w:t>
      </w:r>
    </w:p>
    <w:p w14:paraId="203F381F" w14:textId="6A6245F3" w:rsidR="006D2D8D" w:rsidRPr="00A9581F" w:rsidRDefault="00000000" w:rsidP="006D2D8D">
      <w:pPr>
        <w:spacing w:line="276" w:lineRule="auto"/>
        <w:ind w:firstLine="360"/>
        <w:jc w:val="both"/>
        <w:rPr>
          <w:rFonts w:cs="Times New Roman"/>
          <w:color w:val="000000" w:themeColor="text1"/>
          <w:sz w:val="22"/>
        </w:rPr>
      </w:pPr>
      <m:oMathPara>
        <m:oMath>
          <m:m>
            <m:mPr>
              <m:plcHide m:val="1"/>
              <m:mcs>
                <m:mc>
                  <m:mcPr>
                    <m:count m:val="4"/>
                    <m:mcJc m:val="center"/>
                  </m:mcPr>
                </m:mc>
              </m:mcs>
              <m:ctrlPr>
                <w:rPr>
                  <w:rFonts w:ascii="Cambria Math" w:hAnsi="Cambria Math" w:cs="Times New Roman"/>
                  <w:color w:val="000000" w:themeColor="text1"/>
                  <w:sz w:val="22"/>
                </w:rPr>
              </m:ctrlPr>
            </m:mPr>
            <m:mr>
              <m:e/>
              <m:e>
                <m:r>
                  <m:rPr>
                    <m:sty m:val="p"/>
                  </m:rPr>
                  <w:rPr>
                    <w:rFonts w:ascii="Cambria Math" w:hAnsi="Cambria Math" w:cs="Times New Roman"/>
                    <w:color w:val="000000" w:themeColor="text1"/>
                    <w:sz w:val="22"/>
                  </w:rPr>
                  <m:t>Δ</m:t>
                </m:r>
                <m:sSub>
                  <m:sSubPr>
                    <m:ctrlPr>
                      <w:rPr>
                        <w:rFonts w:ascii="Cambria Math" w:hAnsi="Cambria Math" w:cs="Times New Roman"/>
                        <w:color w:val="000000" w:themeColor="text1"/>
                        <w:sz w:val="22"/>
                      </w:rPr>
                    </m:ctrlPr>
                  </m:sSubPr>
                  <m:e>
                    <m:r>
                      <m:rPr>
                        <m:sty m:val="p"/>
                      </m:rPr>
                      <w:rPr>
                        <w:rFonts w:ascii="Cambria Math" w:hAnsi="Cambria Math" w:cs="Times New Roman"/>
                        <w:color w:val="000000" w:themeColor="text1"/>
                        <w:sz w:val="22"/>
                      </w:rPr>
                      <m:t>x</m:t>
                    </m:r>
                  </m:e>
                  <m:sub>
                    <m:r>
                      <w:rPr>
                        <w:rFonts w:ascii="Cambria Math" w:hAnsi="Cambria Math" w:cs="Times New Roman"/>
                        <w:color w:val="000000" w:themeColor="text1"/>
                        <w:sz w:val="22"/>
                      </w:rPr>
                      <m:t>j,t</m:t>
                    </m:r>
                  </m:sub>
                </m:sSub>
                <m:r>
                  <w:rPr>
                    <w:rFonts w:ascii="Cambria Math" w:hAnsi="Cambria Math" w:cs="Times New Roman"/>
                    <w:color w:val="000000" w:themeColor="text1"/>
                    <w:sz w:val="22"/>
                  </w:rPr>
                  <m:t>=</m:t>
                </m:r>
                <m:sSup>
                  <m:sSupPr>
                    <m:ctrlPr>
                      <w:rPr>
                        <w:rFonts w:ascii="Cambria Math" w:hAnsi="Cambria Math" w:cs="Times New Roman"/>
                        <w:color w:val="000000" w:themeColor="text1"/>
                        <w:sz w:val="22"/>
                      </w:rPr>
                    </m:ctrlPr>
                  </m:sSupPr>
                  <m:e>
                    <m:d>
                      <m:dPr>
                        <m:sepChr m:val="−"/>
                        <m:ctrlPr>
                          <w:rPr>
                            <w:rFonts w:ascii="Cambria Math" w:hAnsi="Cambria Math" w:cs="Times New Roman"/>
                            <w:color w:val="000000" w:themeColor="text1"/>
                            <w:sz w:val="22"/>
                          </w:rPr>
                        </m:ctrlPr>
                      </m:dPr>
                      <m:e>
                        <m:sSub>
                          <m:sSubPr>
                            <m:ctrlPr>
                              <w:rPr>
                                <w:rFonts w:ascii="Cambria Math" w:hAnsi="Cambria Math" w:cs="Times New Roman"/>
                                <w:color w:val="000000" w:themeColor="text1"/>
                                <w:sz w:val="22"/>
                              </w:rPr>
                            </m:ctrlPr>
                          </m:sSubPr>
                          <m:e>
                            <m:r>
                              <w:rPr>
                                <w:rFonts w:ascii="Cambria Math" w:hAnsi="Cambria Math" w:cs="Times New Roman"/>
                                <w:color w:val="000000" w:themeColor="text1"/>
                                <w:sz w:val="22"/>
                              </w:rPr>
                              <m:t>I</m:t>
                            </m:r>
                          </m:e>
                          <m:sub>
                            <m:r>
                              <w:rPr>
                                <w:rFonts w:ascii="Cambria Math" w:hAnsi="Cambria Math" w:cs="Times New Roman"/>
                                <w:color w:val="000000" w:themeColor="text1"/>
                                <w:sz w:val="22"/>
                              </w:rPr>
                              <m:t>120×120</m:t>
                            </m:r>
                          </m:sub>
                        </m:sSub>
                      </m:e>
                      <m:e>
                        <m:sSub>
                          <m:sSubPr>
                            <m:ctrlPr>
                              <w:rPr>
                                <w:rFonts w:ascii="Cambria Math" w:hAnsi="Cambria Math" w:cs="Times New Roman"/>
                                <w:color w:val="000000" w:themeColor="text1"/>
                                <w:sz w:val="22"/>
                              </w:rPr>
                            </m:ctrlPr>
                          </m:sSubPr>
                          <m:e>
                            <m:r>
                              <w:rPr>
                                <w:rFonts w:ascii="Cambria Math" w:hAnsi="Cambria Math" w:cs="Times New Roman"/>
                                <w:color w:val="000000" w:themeColor="text1"/>
                                <w:sz w:val="22"/>
                              </w:rPr>
                              <m:t>A</m:t>
                            </m:r>
                          </m:e>
                          <m:sub>
                            <m:r>
                              <w:rPr>
                                <w:rFonts w:ascii="Cambria Math" w:hAnsi="Cambria Math" w:cs="Times New Roman"/>
                                <w:color w:val="000000" w:themeColor="text1"/>
                                <w:sz w:val="22"/>
                              </w:rPr>
                              <m:t>120×120</m:t>
                            </m:r>
                          </m:sub>
                        </m:sSub>
                      </m:e>
                    </m:d>
                  </m:e>
                  <m:sup>
                    <m:r>
                      <w:rPr>
                        <w:rFonts w:ascii="Cambria Math" w:hAnsi="Cambria Math" w:cs="Times New Roman"/>
                        <w:color w:val="000000" w:themeColor="text1"/>
                        <w:sz w:val="22"/>
                      </w:rPr>
                      <m:t>-1</m:t>
                    </m:r>
                  </m:sup>
                </m:sSup>
                <m:r>
                  <w:rPr>
                    <w:rFonts w:ascii="Cambria Math" w:hAnsi="Cambria Math" w:cs="Times New Roman"/>
                    <w:color w:val="000000" w:themeColor="text1"/>
                    <w:sz w:val="22"/>
                  </w:rPr>
                  <m:t xml:space="preserve">⋅ </m:t>
                </m:r>
                <m:acc>
                  <m:accPr>
                    <m:ctrlPr>
                      <w:rPr>
                        <w:rFonts w:ascii="Cambria Math" w:hAnsi="Cambria Math" w:cs="Times New Roman"/>
                        <w:color w:val="000000" w:themeColor="text1"/>
                        <w:sz w:val="22"/>
                      </w:rPr>
                    </m:ctrlPr>
                  </m:accPr>
                  <m:e>
                    <m:r>
                      <m:rPr>
                        <m:sty m:val="p"/>
                      </m:rPr>
                      <w:rPr>
                        <w:rFonts w:ascii="Cambria Math" w:hAnsi="Cambria Math" w:cs="Times New Roman"/>
                        <w:color w:val="000000" w:themeColor="text1"/>
                        <w:sz w:val="22"/>
                      </w:rPr>
                      <m:t>s</m:t>
                    </m:r>
                  </m:e>
                </m:acc>
                <m:r>
                  <w:rPr>
                    <w:rFonts w:ascii="Cambria Math" w:hAnsi="Cambria Math" w:cs="Times New Roman"/>
                    <w:color w:val="000000" w:themeColor="text1"/>
                    <w:sz w:val="22"/>
                  </w:rPr>
                  <m:t>⋅</m:t>
                </m:r>
                <m:r>
                  <m:rPr>
                    <m:sty m:val="p"/>
                  </m:rPr>
                  <w:rPr>
                    <w:rFonts w:ascii="Cambria Math" w:hAnsi="Cambria Math" w:cs="Times New Roman"/>
                    <w:color w:val="000000" w:themeColor="text1"/>
                    <w:sz w:val="22"/>
                  </w:rPr>
                  <m:t>Δ</m:t>
                </m:r>
                <m:sSub>
                  <m:sSubPr>
                    <m:ctrlPr>
                      <w:rPr>
                        <w:rFonts w:ascii="Cambria Math" w:hAnsi="Cambria Math" w:cs="Times New Roman"/>
                        <w:color w:val="000000" w:themeColor="text1"/>
                        <w:sz w:val="22"/>
                      </w:rPr>
                    </m:ctrlPr>
                  </m:sSubPr>
                  <m:e>
                    <m:r>
                      <m:rPr>
                        <m:sty m:val="p"/>
                      </m:rPr>
                      <w:rPr>
                        <w:rFonts w:ascii="Cambria Math" w:hAnsi="Cambria Math" w:cs="Times New Roman"/>
                        <w:color w:val="000000" w:themeColor="text1"/>
                        <w:sz w:val="22"/>
                      </w:rPr>
                      <m:t>y</m:t>
                    </m:r>
                  </m:e>
                  <m:sub>
                    <m:r>
                      <w:rPr>
                        <w:rFonts w:ascii="Cambria Math" w:hAnsi="Cambria Math" w:cs="Times New Roman"/>
                        <w:color w:val="000000" w:themeColor="text1"/>
                        <w:sz w:val="22"/>
                      </w:rPr>
                      <m:t>j,t</m:t>
                    </m:r>
                  </m:sub>
                </m:sSub>
              </m:e>
              <m:e/>
              <m:e>
                <m:r>
                  <m:rPr>
                    <m:nor/>
                  </m:rPr>
                  <w:rPr>
                    <w:rFonts w:cs="Times New Roman"/>
                    <w:color w:val="000000" w:themeColor="text1"/>
                    <w:sz w:val="22"/>
                  </w:rPr>
                  <m:t>(1)</m:t>
                </m:r>
              </m:e>
            </m:mr>
          </m:m>
          <m:r>
            <m:rPr>
              <m:sty m:val="p"/>
            </m:rPr>
            <w:rPr>
              <w:rFonts w:cs="Times New Roman"/>
              <w:color w:val="000000" w:themeColor="text1"/>
              <w:sz w:val="22"/>
            </w:rPr>
            <w:br/>
          </m:r>
        </m:oMath>
      </m:oMathPara>
    </w:p>
    <w:p w14:paraId="30DB375E" w14:textId="1C216100" w:rsidR="000470CA" w:rsidRPr="00A9581F" w:rsidRDefault="00000000" w:rsidP="006D2D8D">
      <w:pPr>
        <w:spacing w:line="276" w:lineRule="auto"/>
        <w:ind w:firstLine="360"/>
        <w:jc w:val="both"/>
        <w:rPr>
          <w:rFonts w:cs="Times New Roman"/>
          <w:color w:val="000000" w:themeColor="text1"/>
          <w:sz w:val="22"/>
        </w:rPr>
      </w:pPr>
      <m:oMathPara>
        <m:oMath>
          <m:m>
            <m:mPr>
              <m:plcHide m:val="1"/>
              <m:mcs>
                <m:mc>
                  <m:mcPr>
                    <m:count m:val="4"/>
                    <m:mcJc m:val="center"/>
                  </m:mcPr>
                </m:mc>
              </m:mcs>
              <m:ctrlPr>
                <w:rPr>
                  <w:rFonts w:ascii="Cambria Math" w:hAnsi="Cambria Math" w:cs="Times New Roman"/>
                  <w:color w:val="000000" w:themeColor="text1"/>
                  <w:sz w:val="22"/>
                </w:rPr>
              </m:ctrlPr>
            </m:mPr>
            <m:mr>
              <m:e/>
              <m:e>
                <m:r>
                  <m:rPr>
                    <m:sty m:val="p"/>
                  </m:rPr>
                  <w:rPr>
                    <w:rFonts w:ascii="Cambria Math" w:hAnsi="Cambria Math" w:cs="Times New Roman"/>
                    <w:color w:val="000000" w:themeColor="text1"/>
                    <w:sz w:val="22"/>
                  </w:rPr>
                  <m:t>Δ</m:t>
                </m:r>
                <m:sSub>
                  <m:sSubPr>
                    <m:ctrlPr>
                      <w:rPr>
                        <w:rFonts w:ascii="Cambria Math" w:hAnsi="Cambria Math" w:cs="Times New Roman"/>
                        <w:color w:val="000000" w:themeColor="text1"/>
                        <w:sz w:val="22"/>
                      </w:rPr>
                    </m:ctrlPr>
                  </m:sSubPr>
                  <m:e>
                    <m:r>
                      <m:rPr>
                        <m:sty m:val="p"/>
                      </m:rPr>
                      <w:rPr>
                        <w:rFonts w:ascii="Cambria Math" w:hAnsi="Cambria Math" w:cs="Times New Roman"/>
                        <w:color w:val="000000" w:themeColor="text1"/>
                        <w:sz w:val="22"/>
                      </w:rPr>
                      <m:t>n</m:t>
                    </m:r>
                  </m:e>
                  <m:sub>
                    <m:r>
                      <w:rPr>
                        <w:rFonts w:ascii="Cambria Math" w:hAnsi="Cambria Math" w:cs="Times New Roman"/>
                        <w:color w:val="000000" w:themeColor="text1"/>
                        <w:sz w:val="22"/>
                      </w:rPr>
                      <m:t>j,t</m:t>
                    </m:r>
                  </m:sub>
                </m:sSub>
                <m:r>
                  <w:rPr>
                    <w:rFonts w:ascii="Cambria Math" w:hAnsi="Cambria Math" w:cs="Times New Roman"/>
                    <w:color w:val="000000" w:themeColor="text1"/>
                    <w:sz w:val="22"/>
                  </w:rPr>
                  <m:t>=E</m:t>
                </m:r>
                <m:sSub>
                  <m:sSubPr>
                    <m:ctrlPr>
                      <w:rPr>
                        <w:rFonts w:ascii="Cambria Math" w:hAnsi="Cambria Math" w:cs="Times New Roman"/>
                        <w:color w:val="000000" w:themeColor="text1"/>
                        <w:sz w:val="22"/>
                      </w:rPr>
                    </m:ctrlPr>
                  </m:sSubPr>
                  <m:e>
                    <m:r>
                      <w:rPr>
                        <w:rFonts w:ascii="Cambria Math" w:hAnsi="Cambria Math" w:cs="Times New Roman"/>
                        <w:color w:val="000000" w:themeColor="text1"/>
                        <w:sz w:val="22"/>
                      </w:rPr>
                      <m:t>R</m:t>
                    </m:r>
                  </m:e>
                  <m:sub>
                    <m:r>
                      <w:rPr>
                        <w:rFonts w:ascii="Cambria Math" w:hAnsi="Cambria Math" w:cs="Times New Roman"/>
                        <w:color w:val="000000" w:themeColor="text1"/>
                        <w:sz w:val="22"/>
                      </w:rPr>
                      <m:t>120×120</m:t>
                    </m:r>
                  </m:sub>
                </m:sSub>
                <m:r>
                  <w:rPr>
                    <w:rFonts w:ascii="Cambria Math" w:hAnsi="Cambria Math" w:cs="Times New Roman"/>
                    <w:color w:val="000000" w:themeColor="text1"/>
                    <w:sz w:val="22"/>
                  </w:rPr>
                  <m:t>⋅</m:t>
                </m:r>
                <m:r>
                  <m:rPr>
                    <m:sty m:val="p"/>
                  </m:rPr>
                  <w:rPr>
                    <w:rFonts w:ascii="Cambria Math" w:hAnsi="Cambria Math" w:cs="Times New Roman"/>
                    <w:color w:val="000000" w:themeColor="text1"/>
                    <w:sz w:val="22"/>
                  </w:rPr>
                  <m:t>Δ</m:t>
                </m:r>
                <m:sSub>
                  <m:sSubPr>
                    <m:ctrlPr>
                      <w:rPr>
                        <w:rFonts w:ascii="Cambria Math" w:hAnsi="Cambria Math" w:cs="Times New Roman"/>
                        <w:color w:val="000000" w:themeColor="text1"/>
                        <w:sz w:val="22"/>
                      </w:rPr>
                    </m:ctrlPr>
                  </m:sSubPr>
                  <m:e>
                    <m:r>
                      <m:rPr>
                        <m:sty m:val="p"/>
                      </m:rPr>
                      <w:rPr>
                        <w:rFonts w:ascii="Cambria Math" w:hAnsi="Cambria Math" w:cs="Times New Roman"/>
                        <w:color w:val="000000" w:themeColor="text1"/>
                        <w:sz w:val="22"/>
                      </w:rPr>
                      <m:t>y</m:t>
                    </m:r>
                  </m:e>
                  <m:sub>
                    <m:r>
                      <w:rPr>
                        <w:rFonts w:ascii="Cambria Math" w:hAnsi="Cambria Math" w:cs="Times New Roman"/>
                        <w:color w:val="000000" w:themeColor="text1"/>
                        <w:sz w:val="22"/>
                      </w:rPr>
                      <m:t>j,t</m:t>
                    </m:r>
                  </m:sub>
                </m:sSub>
                <m:r>
                  <w:rPr>
                    <w:rFonts w:ascii="Cambria Math" w:hAnsi="Cambria Math" w:cs="Times New Roman"/>
                    <w:color w:val="000000" w:themeColor="text1"/>
                    <w:sz w:val="22"/>
                  </w:rPr>
                  <m:t>,  ER=</m:t>
                </m:r>
                <m:acc>
                  <m:accPr>
                    <m:ctrlPr>
                      <w:rPr>
                        <w:rFonts w:ascii="Cambria Math" w:hAnsi="Cambria Math" w:cs="Times New Roman"/>
                        <w:color w:val="000000" w:themeColor="text1"/>
                        <w:sz w:val="22"/>
                      </w:rPr>
                    </m:ctrlPr>
                  </m:accPr>
                  <m:e>
                    <m:r>
                      <m:rPr>
                        <m:sty m:val="p"/>
                      </m:rPr>
                      <w:rPr>
                        <w:rFonts w:ascii="Cambria Math" w:hAnsi="Cambria Math" w:cs="Times New Roman"/>
                        <w:color w:val="000000" w:themeColor="text1"/>
                        <w:sz w:val="22"/>
                      </w:rPr>
                      <m:t>e</m:t>
                    </m:r>
                  </m:e>
                </m:acc>
                <m:r>
                  <w:rPr>
                    <w:rFonts w:ascii="Cambria Math" w:hAnsi="Cambria Math" w:cs="Times New Roman"/>
                    <w:color w:val="000000" w:themeColor="text1"/>
                    <w:sz w:val="22"/>
                  </w:rPr>
                  <m:t>⋅(I-A</m:t>
                </m:r>
                <m:sSup>
                  <m:sSupPr>
                    <m:ctrlPr>
                      <w:rPr>
                        <w:rFonts w:ascii="Cambria Math" w:hAnsi="Cambria Math" w:cs="Times New Roman"/>
                        <w:color w:val="000000" w:themeColor="text1"/>
                        <w:sz w:val="22"/>
                      </w:rPr>
                    </m:ctrlPr>
                  </m:sSupPr>
                  <m:e>
                    <m:r>
                      <w:rPr>
                        <w:rFonts w:ascii="Cambria Math" w:hAnsi="Cambria Math" w:cs="Times New Roman"/>
                        <w:color w:val="000000" w:themeColor="text1"/>
                        <w:sz w:val="22"/>
                      </w:rPr>
                      <m:t>)</m:t>
                    </m:r>
                  </m:e>
                  <m:sup>
                    <m:r>
                      <w:rPr>
                        <w:rFonts w:ascii="Cambria Math" w:hAnsi="Cambria Math" w:cs="Times New Roman"/>
                        <w:color w:val="000000" w:themeColor="text1"/>
                        <w:sz w:val="22"/>
                      </w:rPr>
                      <m:t>-1</m:t>
                    </m:r>
                  </m:sup>
                </m:sSup>
                <m:r>
                  <w:rPr>
                    <w:rFonts w:ascii="Cambria Math" w:hAnsi="Cambria Math" w:cs="Times New Roman"/>
                    <w:color w:val="000000" w:themeColor="text1"/>
                    <w:sz w:val="22"/>
                  </w:rPr>
                  <m:t>⋅</m:t>
                </m:r>
                <m:acc>
                  <m:accPr>
                    <m:ctrlPr>
                      <w:rPr>
                        <w:rFonts w:ascii="Cambria Math" w:hAnsi="Cambria Math" w:cs="Times New Roman"/>
                        <w:color w:val="000000" w:themeColor="text1"/>
                        <w:sz w:val="22"/>
                      </w:rPr>
                    </m:ctrlPr>
                  </m:accPr>
                  <m:e>
                    <m:r>
                      <m:rPr>
                        <m:sty m:val="p"/>
                      </m:rPr>
                      <w:rPr>
                        <w:rFonts w:ascii="Cambria Math" w:hAnsi="Cambria Math" w:cs="Times New Roman"/>
                        <w:color w:val="000000" w:themeColor="text1"/>
                        <w:sz w:val="22"/>
                      </w:rPr>
                      <m:t>s</m:t>
                    </m:r>
                  </m:e>
                </m:acc>
              </m:e>
              <m:e/>
              <m:e>
                <m:r>
                  <m:rPr>
                    <m:nor/>
                  </m:rPr>
                  <w:rPr>
                    <w:rFonts w:cs="Times New Roman"/>
                    <w:color w:val="000000" w:themeColor="text1"/>
                    <w:sz w:val="22"/>
                  </w:rPr>
                  <m:t>(2)</m:t>
                </m:r>
              </m:e>
            </m:mr>
          </m:m>
        </m:oMath>
      </m:oMathPara>
    </w:p>
    <w:p w14:paraId="206A73A4" w14:textId="50BB1EE7" w:rsidR="00372A37" w:rsidRPr="00A9581F" w:rsidRDefault="006D2D8D" w:rsidP="006D2D8D">
      <w:pPr>
        <w:spacing w:line="276" w:lineRule="auto"/>
        <w:ind w:firstLine="360"/>
        <w:jc w:val="both"/>
        <w:rPr>
          <w:rFonts w:cs="Times New Roman"/>
          <w:color w:val="000000" w:themeColor="text1"/>
          <w:sz w:val="22"/>
        </w:rPr>
      </w:pPr>
      <w:r w:rsidRPr="00A9581F">
        <w:rPr>
          <w:rFonts w:cs="Times New Roman"/>
          <w:color w:val="000000" w:themeColor="text1"/>
          <w:sz w:val="22"/>
        </w:rPr>
        <w:br/>
      </w:r>
      <m:oMathPara>
        <m:oMath>
          <m:m>
            <m:mPr>
              <m:plcHide m:val="1"/>
              <m:mcs>
                <m:mc>
                  <m:mcPr>
                    <m:count m:val="4"/>
                    <m:mcJc m:val="center"/>
                  </m:mcPr>
                </m:mc>
              </m:mcs>
              <m:ctrlPr>
                <w:rPr>
                  <w:rFonts w:ascii="Cambria Math" w:hAnsi="Cambria Math" w:cs="Times New Roman"/>
                  <w:color w:val="000000" w:themeColor="text1"/>
                  <w:sz w:val="22"/>
                </w:rPr>
              </m:ctrlPr>
            </m:mPr>
            <m:mr>
              <m:e/>
              <m:e>
                <m:r>
                  <m:rPr>
                    <m:sty m:val="p"/>
                  </m:rPr>
                  <w:rPr>
                    <w:rFonts w:ascii="Cambria Math" w:hAnsi="Cambria Math" w:cs="Times New Roman"/>
                    <w:color w:val="000000" w:themeColor="text1"/>
                    <w:sz w:val="22"/>
                  </w:rPr>
                  <m:t>Δ</m:t>
                </m:r>
                <m:sSubSup>
                  <m:sSubSupPr>
                    <m:ctrlPr>
                      <w:rPr>
                        <w:rFonts w:ascii="Cambria Math" w:hAnsi="Cambria Math" w:cs="Times New Roman"/>
                        <w:color w:val="000000" w:themeColor="text1"/>
                        <w:sz w:val="22"/>
                      </w:rPr>
                    </m:ctrlPr>
                  </m:sSubSupPr>
                  <m:e>
                    <m:r>
                      <m:rPr>
                        <m:sty m:val="p"/>
                      </m:rPr>
                      <w:rPr>
                        <w:rFonts w:ascii="Cambria Math" w:hAnsi="Cambria Math" w:cs="Times New Roman"/>
                        <w:color w:val="000000" w:themeColor="text1"/>
                        <w:sz w:val="22"/>
                      </w:rPr>
                      <m:t>n</m:t>
                    </m:r>
                  </m:e>
                  <m:sub>
                    <m:r>
                      <w:rPr>
                        <w:rFonts w:ascii="Cambria Math" w:hAnsi="Cambria Math" w:cs="Times New Roman"/>
                        <w:color w:val="000000" w:themeColor="text1"/>
                        <w:sz w:val="22"/>
                      </w:rPr>
                      <m:t>j,t</m:t>
                    </m:r>
                  </m:sub>
                  <m:sup>
                    <m:r>
                      <w:rPr>
                        <w:rFonts w:ascii="Cambria Math" w:hAnsi="Cambria Math" w:cs="Times New Roman"/>
                        <w:color w:val="000000" w:themeColor="text1"/>
                        <w:sz w:val="22"/>
                      </w:rPr>
                      <m:t>dir</m:t>
                    </m:r>
                  </m:sup>
                </m:sSubSup>
                <m:r>
                  <w:rPr>
                    <w:rFonts w:ascii="Cambria Math" w:hAnsi="Cambria Math" w:cs="Times New Roman"/>
                    <w:color w:val="000000" w:themeColor="text1"/>
                    <w:sz w:val="22"/>
                  </w:rPr>
                  <m:t>=</m:t>
                </m:r>
                <m:acc>
                  <m:accPr>
                    <m:ctrlPr>
                      <w:rPr>
                        <w:rFonts w:ascii="Cambria Math" w:hAnsi="Cambria Math" w:cs="Times New Roman"/>
                        <w:color w:val="000000" w:themeColor="text1"/>
                        <w:sz w:val="22"/>
                      </w:rPr>
                    </m:ctrlPr>
                  </m:accPr>
                  <m:e>
                    <m:r>
                      <m:rPr>
                        <m:sty m:val="p"/>
                      </m:rPr>
                      <w:rPr>
                        <w:rFonts w:ascii="Cambria Math" w:hAnsi="Cambria Math" w:cs="Times New Roman"/>
                        <w:color w:val="000000" w:themeColor="text1"/>
                        <w:sz w:val="22"/>
                      </w:rPr>
                      <m:t>e</m:t>
                    </m:r>
                  </m:e>
                </m:acc>
                <m:r>
                  <w:rPr>
                    <w:rFonts w:ascii="Cambria Math" w:hAnsi="Cambria Math" w:cs="Times New Roman"/>
                    <w:color w:val="000000" w:themeColor="text1"/>
                    <w:sz w:val="22"/>
                  </w:rPr>
                  <m:t>⋅</m:t>
                </m:r>
                <m:acc>
                  <m:accPr>
                    <m:ctrlPr>
                      <w:rPr>
                        <w:rFonts w:ascii="Cambria Math" w:hAnsi="Cambria Math" w:cs="Times New Roman"/>
                        <w:color w:val="000000" w:themeColor="text1"/>
                        <w:sz w:val="22"/>
                      </w:rPr>
                    </m:ctrlPr>
                  </m:accPr>
                  <m:e>
                    <m:r>
                      <m:rPr>
                        <m:sty m:val="p"/>
                      </m:rPr>
                      <w:rPr>
                        <w:rFonts w:ascii="Cambria Math" w:hAnsi="Cambria Math" w:cs="Times New Roman"/>
                        <w:color w:val="000000" w:themeColor="text1"/>
                        <w:sz w:val="22"/>
                      </w:rPr>
                      <m:t>s</m:t>
                    </m:r>
                  </m:e>
                </m:acc>
                <m:r>
                  <w:rPr>
                    <w:rFonts w:ascii="Cambria Math" w:hAnsi="Cambria Math" w:cs="Times New Roman"/>
                    <w:color w:val="000000" w:themeColor="text1"/>
                    <w:sz w:val="22"/>
                  </w:rPr>
                  <m:t>⋅</m:t>
                </m:r>
                <m:r>
                  <m:rPr>
                    <m:sty m:val="p"/>
                  </m:rPr>
                  <w:rPr>
                    <w:rFonts w:ascii="Cambria Math" w:hAnsi="Cambria Math" w:cs="Times New Roman"/>
                    <w:color w:val="000000" w:themeColor="text1"/>
                    <w:sz w:val="22"/>
                  </w:rPr>
                  <m:t>Δ</m:t>
                </m:r>
                <m:sSub>
                  <m:sSubPr>
                    <m:ctrlPr>
                      <w:rPr>
                        <w:rFonts w:ascii="Cambria Math" w:hAnsi="Cambria Math" w:cs="Times New Roman"/>
                        <w:color w:val="000000" w:themeColor="text1"/>
                        <w:sz w:val="22"/>
                      </w:rPr>
                    </m:ctrlPr>
                  </m:sSubPr>
                  <m:e>
                    <m:r>
                      <m:rPr>
                        <m:sty m:val="p"/>
                      </m:rPr>
                      <w:rPr>
                        <w:rFonts w:ascii="Cambria Math" w:hAnsi="Cambria Math" w:cs="Times New Roman"/>
                        <w:color w:val="000000" w:themeColor="text1"/>
                        <w:sz w:val="22"/>
                      </w:rPr>
                      <m:t>y</m:t>
                    </m:r>
                  </m:e>
                  <m:sub>
                    <m:r>
                      <w:rPr>
                        <w:rFonts w:ascii="Cambria Math" w:hAnsi="Cambria Math" w:cs="Times New Roman"/>
                        <w:color w:val="000000" w:themeColor="text1"/>
                        <w:sz w:val="22"/>
                      </w:rPr>
                      <m:t>j,t</m:t>
                    </m:r>
                  </m:sub>
                </m:sSub>
                <m:r>
                  <w:rPr>
                    <w:rFonts w:ascii="Cambria Math" w:hAnsi="Cambria Math" w:cs="Times New Roman"/>
                    <w:color w:val="000000" w:themeColor="text1"/>
                    <w:sz w:val="22"/>
                  </w:rPr>
                  <m:t xml:space="preserve">,  </m:t>
                </m:r>
                <m:r>
                  <m:rPr>
                    <m:sty m:val="p"/>
                  </m:rPr>
                  <w:rPr>
                    <w:rFonts w:ascii="Cambria Math" w:hAnsi="Cambria Math" w:cs="Times New Roman"/>
                    <w:color w:val="000000" w:themeColor="text1"/>
                    <w:sz w:val="22"/>
                  </w:rPr>
                  <m:t>Δ</m:t>
                </m:r>
                <m:sSubSup>
                  <m:sSubSupPr>
                    <m:ctrlPr>
                      <w:rPr>
                        <w:rFonts w:ascii="Cambria Math" w:hAnsi="Cambria Math" w:cs="Times New Roman"/>
                        <w:color w:val="000000" w:themeColor="text1"/>
                        <w:sz w:val="22"/>
                      </w:rPr>
                    </m:ctrlPr>
                  </m:sSubSupPr>
                  <m:e>
                    <m:r>
                      <m:rPr>
                        <m:sty m:val="p"/>
                      </m:rPr>
                      <w:rPr>
                        <w:rFonts w:ascii="Cambria Math" w:hAnsi="Cambria Math" w:cs="Times New Roman"/>
                        <w:color w:val="000000" w:themeColor="text1"/>
                        <w:sz w:val="22"/>
                      </w:rPr>
                      <m:t>n</m:t>
                    </m:r>
                  </m:e>
                  <m:sub>
                    <m:r>
                      <w:rPr>
                        <w:rFonts w:ascii="Cambria Math" w:hAnsi="Cambria Math" w:cs="Times New Roman"/>
                        <w:color w:val="000000" w:themeColor="text1"/>
                        <w:sz w:val="22"/>
                      </w:rPr>
                      <m:t>j,t</m:t>
                    </m:r>
                  </m:sub>
                  <m:sup>
                    <m:r>
                      <w:rPr>
                        <w:rFonts w:ascii="Cambria Math" w:hAnsi="Cambria Math" w:cs="Times New Roman"/>
                        <w:color w:val="000000" w:themeColor="text1"/>
                        <w:sz w:val="22"/>
                      </w:rPr>
                      <m:t>ind</m:t>
                    </m:r>
                  </m:sup>
                </m:sSubSup>
                <m:r>
                  <w:rPr>
                    <w:rFonts w:ascii="Cambria Math" w:hAnsi="Cambria Math" w:cs="Times New Roman"/>
                    <w:color w:val="000000" w:themeColor="text1"/>
                    <w:sz w:val="22"/>
                  </w:rPr>
                  <m:t>=</m:t>
                </m:r>
                <m:r>
                  <m:rPr>
                    <m:sty m:val="p"/>
                  </m:rPr>
                  <w:rPr>
                    <w:rFonts w:ascii="Cambria Math" w:hAnsi="Cambria Math" w:cs="Times New Roman"/>
                    <w:color w:val="000000" w:themeColor="text1"/>
                    <w:sz w:val="22"/>
                  </w:rPr>
                  <m:t>Δ</m:t>
                </m:r>
                <m:sSub>
                  <m:sSubPr>
                    <m:ctrlPr>
                      <w:rPr>
                        <w:rFonts w:ascii="Cambria Math" w:hAnsi="Cambria Math" w:cs="Times New Roman"/>
                        <w:color w:val="000000" w:themeColor="text1"/>
                        <w:sz w:val="22"/>
                      </w:rPr>
                    </m:ctrlPr>
                  </m:sSubPr>
                  <m:e>
                    <m:r>
                      <m:rPr>
                        <m:sty m:val="p"/>
                      </m:rPr>
                      <w:rPr>
                        <w:rFonts w:ascii="Cambria Math" w:hAnsi="Cambria Math" w:cs="Times New Roman"/>
                        <w:color w:val="000000" w:themeColor="text1"/>
                        <w:sz w:val="22"/>
                      </w:rPr>
                      <m:t>n</m:t>
                    </m:r>
                  </m:e>
                  <m:sub>
                    <m:r>
                      <w:rPr>
                        <w:rFonts w:ascii="Cambria Math" w:hAnsi="Cambria Math" w:cs="Times New Roman"/>
                        <w:color w:val="000000" w:themeColor="text1"/>
                        <w:sz w:val="22"/>
                      </w:rPr>
                      <m:t>j,t</m:t>
                    </m:r>
                  </m:sub>
                </m:sSub>
                <m:r>
                  <w:rPr>
                    <w:rFonts w:ascii="Cambria Math" w:hAnsi="Cambria Math" w:cs="Times New Roman"/>
                    <w:color w:val="000000" w:themeColor="text1"/>
                    <w:sz w:val="22"/>
                  </w:rPr>
                  <m:t>-</m:t>
                </m:r>
                <m:r>
                  <m:rPr>
                    <m:sty m:val="p"/>
                  </m:rPr>
                  <w:rPr>
                    <w:rFonts w:ascii="Cambria Math" w:hAnsi="Cambria Math" w:cs="Times New Roman"/>
                    <w:color w:val="000000" w:themeColor="text1"/>
                    <w:sz w:val="22"/>
                  </w:rPr>
                  <m:t>Δ</m:t>
                </m:r>
                <m:sSubSup>
                  <m:sSubSupPr>
                    <m:ctrlPr>
                      <w:rPr>
                        <w:rFonts w:ascii="Cambria Math" w:hAnsi="Cambria Math" w:cs="Times New Roman"/>
                        <w:color w:val="000000" w:themeColor="text1"/>
                        <w:sz w:val="22"/>
                      </w:rPr>
                    </m:ctrlPr>
                  </m:sSubSupPr>
                  <m:e>
                    <m:r>
                      <m:rPr>
                        <m:sty m:val="p"/>
                      </m:rPr>
                      <w:rPr>
                        <w:rFonts w:ascii="Cambria Math" w:hAnsi="Cambria Math" w:cs="Times New Roman"/>
                        <w:color w:val="000000" w:themeColor="text1"/>
                        <w:sz w:val="22"/>
                      </w:rPr>
                      <m:t>n</m:t>
                    </m:r>
                  </m:e>
                  <m:sub>
                    <m:r>
                      <w:rPr>
                        <w:rFonts w:ascii="Cambria Math" w:hAnsi="Cambria Math" w:cs="Times New Roman"/>
                        <w:color w:val="000000" w:themeColor="text1"/>
                        <w:sz w:val="22"/>
                      </w:rPr>
                      <m:t>j,t</m:t>
                    </m:r>
                  </m:sub>
                  <m:sup>
                    <m:r>
                      <w:rPr>
                        <w:rFonts w:ascii="Cambria Math" w:hAnsi="Cambria Math" w:cs="Times New Roman"/>
                        <w:color w:val="000000" w:themeColor="text1"/>
                        <w:sz w:val="22"/>
                      </w:rPr>
                      <m:t>dir</m:t>
                    </m:r>
                  </m:sup>
                </m:sSubSup>
              </m:e>
              <m:e/>
              <m:e>
                <m:r>
                  <m:rPr>
                    <m:nor/>
                  </m:rPr>
                  <w:rPr>
                    <w:rFonts w:cs="Times New Roman"/>
                    <w:color w:val="000000" w:themeColor="text1"/>
                    <w:sz w:val="22"/>
                  </w:rPr>
                  <m:t>(3)</m:t>
                </m:r>
              </m:e>
            </m:mr>
          </m:m>
        </m:oMath>
      </m:oMathPara>
    </w:p>
    <w:p w14:paraId="2E3D73F5" w14:textId="77777777" w:rsidR="000470CA" w:rsidRPr="00A9581F" w:rsidRDefault="000470CA" w:rsidP="006D2D8D">
      <w:pPr>
        <w:spacing w:line="276" w:lineRule="auto"/>
        <w:ind w:firstLine="360"/>
        <w:jc w:val="both"/>
        <w:rPr>
          <w:rFonts w:cs="Times New Roman"/>
          <w:color w:val="000000" w:themeColor="text1"/>
          <w:sz w:val="22"/>
        </w:rPr>
      </w:pPr>
    </w:p>
    <w:p w14:paraId="4E29C585" w14:textId="65605DA7" w:rsidR="00A06014" w:rsidRPr="00442868" w:rsidRDefault="00000000" w:rsidP="00442868">
      <w:pPr>
        <w:spacing w:line="276" w:lineRule="auto"/>
        <w:ind w:firstLine="360"/>
        <w:jc w:val="center"/>
        <w:rPr>
          <w:rFonts w:cs="Times New Roman"/>
          <w:color w:val="000000" w:themeColor="text1"/>
          <w:sz w:val="22"/>
        </w:rPr>
      </w:pP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N</m:t>
            </m:r>
          </m:e>
          <m:sub>
            <m:r>
              <w:rPr>
                <w:rFonts w:ascii="Cambria Math" w:hAnsi="Cambria Math" w:cs="Times New Roman"/>
                <w:color w:val="000000" w:themeColor="text1"/>
                <w:sz w:val="22"/>
              </w:rPr>
              <m:t>k,t</m:t>
            </m:r>
          </m:sub>
        </m:sSub>
        <m:r>
          <w:rPr>
            <w:rFonts w:ascii="Cambria Math" w:hAnsi="Cambria Math" w:cs="Times New Roman"/>
            <w:color w:val="000000" w:themeColor="text1"/>
            <w:sz w:val="22"/>
          </w:rPr>
          <m:t xml:space="preserve">= </m:t>
        </m:r>
        <m:nary>
          <m:naryPr>
            <m:chr m:val="∑"/>
            <m:limLoc m:val="undOvr"/>
            <m:supHide m:val="1"/>
            <m:ctrlPr>
              <w:rPr>
                <w:rFonts w:ascii="Cambria Math" w:hAnsi="Cambria Math" w:cs="Times New Roman"/>
                <w:i/>
                <w:color w:val="000000" w:themeColor="text1"/>
                <w:sz w:val="22"/>
              </w:rPr>
            </m:ctrlPr>
          </m:naryPr>
          <m:sub>
            <m:r>
              <w:rPr>
                <w:rFonts w:ascii="Cambria Math" w:hAnsi="Cambria Math" w:cs="Times New Roman"/>
                <w:color w:val="000000" w:themeColor="text1"/>
                <w:sz w:val="22"/>
              </w:rPr>
              <m:t>j</m:t>
            </m:r>
          </m:sub>
          <m:sup/>
          <m:e>
            <m:nary>
              <m:naryPr>
                <m:chr m:val="∑"/>
                <m:limLoc m:val="undOvr"/>
                <m:supHide m:val="1"/>
                <m:ctrlPr>
                  <w:rPr>
                    <w:rFonts w:ascii="Cambria Math" w:hAnsi="Cambria Math" w:cs="Times New Roman"/>
                    <w:i/>
                    <w:color w:val="000000" w:themeColor="text1"/>
                    <w:sz w:val="22"/>
                  </w:rPr>
                </m:ctrlPr>
              </m:naryPr>
              <m:sub>
                <m:r>
                  <w:rPr>
                    <w:rFonts w:ascii="Cambria Math" w:hAnsi="Cambria Math" w:cs="Times New Roman"/>
                    <w:color w:val="000000" w:themeColor="text1"/>
                    <w:sz w:val="22"/>
                  </w:rPr>
                  <m:t>i∈</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S</m:t>
                    </m:r>
                  </m:e>
                  <m:sub>
                    <m:r>
                      <w:rPr>
                        <w:rFonts w:ascii="Cambria Math" w:hAnsi="Cambria Math" w:cs="Times New Roman"/>
                        <w:color w:val="000000" w:themeColor="text1"/>
                        <w:sz w:val="22"/>
                      </w:rPr>
                      <m:t>k</m:t>
                    </m:r>
                  </m:sub>
                </m:sSub>
              </m:sub>
              <m:sup/>
              <m:e>
                <m:r>
                  <w:rPr>
                    <w:rFonts w:ascii="Cambria Math" w:hAnsi="Cambria Math" w:cs="Times New Roman"/>
                    <w:color w:val="000000" w:themeColor="text1"/>
                    <w:sz w:val="22"/>
                  </w:rPr>
                  <m:t>∆</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n</m:t>
                    </m:r>
                  </m:e>
                  <m:sub>
                    <m:r>
                      <w:rPr>
                        <w:rFonts w:ascii="Cambria Math" w:hAnsi="Cambria Math" w:cs="Times New Roman"/>
                        <w:color w:val="000000" w:themeColor="text1"/>
                        <w:sz w:val="22"/>
                      </w:rPr>
                      <m:t>i,j,t</m:t>
                    </m:r>
                  </m:sub>
                </m:sSub>
              </m:e>
            </m:nary>
          </m:e>
        </m:nary>
        <m:r>
          <w:rPr>
            <w:rFonts w:ascii="Cambria Math" w:hAnsi="Cambria Math" w:cs="Times New Roman"/>
            <w:color w:val="000000" w:themeColor="text1"/>
            <w:sz w:val="22"/>
          </w:rPr>
          <m:t xml:space="preserve">,      </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N</m:t>
            </m:r>
          </m:e>
          <m:sub>
            <m:r>
              <w:rPr>
                <w:rFonts w:ascii="Cambria Math" w:hAnsi="Cambria Math" w:cs="Times New Roman"/>
                <w:color w:val="000000" w:themeColor="text1"/>
                <w:sz w:val="22"/>
              </w:rPr>
              <m:t>t</m:t>
            </m:r>
          </m:sub>
        </m:sSub>
        <m:r>
          <w:rPr>
            <w:rFonts w:ascii="Cambria Math" w:hAnsi="Cambria Math" w:cs="Times New Roman"/>
            <w:color w:val="000000" w:themeColor="text1"/>
            <w:sz w:val="22"/>
          </w:rPr>
          <m:t xml:space="preserve">= </m:t>
        </m:r>
        <m:nary>
          <m:naryPr>
            <m:chr m:val="∑"/>
            <m:limLoc m:val="undOvr"/>
            <m:supHide m:val="1"/>
            <m:ctrlPr>
              <w:rPr>
                <w:rFonts w:ascii="Cambria Math" w:hAnsi="Cambria Math" w:cs="Times New Roman"/>
                <w:i/>
                <w:color w:val="000000" w:themeColor="text1"/>
                <w:sz w:val="22"/>
              </w:rPr>
            </m:ctrlPr>
          </m:naryPr>
          <m:sub>
            <m:r>
              <w:rPr>
                <w:rFonts w:ascii="Cambria Math" w:hAnsi="Cambria Math" w:cs="Times New Roman"/>
                <w:color w:val="000000" w:themeColor="text1"/>
                <w:sz w:val="22"/>
              </w:rPr>
              <m:t>k</m:t>
            </m:r>
          </m:sub>
          <m:sup/>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N</m:t>
                </m:r>
              </m:e>
              <m:sub>
                <m:r>
                  <w:rPr>
                    <w:rFonts w:ascii="Cambria Math" w:hAnsi="Cambria Math" w:cs="Times New Roman"/>
                    <w:color w:val="000000" w:themeColor="text1"/>
                    <w:sz w:val="22"/>
                  </w:rPr>
                  <m:t>k,t</m:t>
                </m:r>
              </m:sub>
            </m:sSub>
          </m:e>
        </m:nary>
        <m:r>
          <w:rPr>
            <w:rFonts w:ascii="Cambria Math" w:hAnsi="Cambria Math" w:cs="Times New Roman"/>
            <w:color w:val="000000" w:themeColor="text1"/>
            <w:sz w:val="22"/>
          </w:rPr>
          <m:t xml:space="preserve">              (4)</m:t>
        </m:r>
      </m:oMath>
      <w:r w:rsidR="006E770C" w:rsidRPr="00A9581F">
        <w:rPr>
          <w:rFonts w:cs="Times New Roman"/>
          <w:color w:val="000000" w:themeColor="text1"/>
          <w:sz w:val="22"/>
        </w:rPr>
        <w:t xml:space="preserve"> </w:t>
      </w:r>
      <w:r w:rsidR="006D2D8D" w:rsidRPr="00A9581F">
        <w:rPr>
          <w:rFonts w:cs="Times New Roman"/>
          <w:color w:val="000000" w:themeColor="text1"/>
          <w:sz w:val="22"/>
        </w:rPr>
        <w:br/>
      </w:r>
    </w:p>
    <w:p w14:paraId="1C0D6159" w14:textId="37853530" w:rsidR="000F0E7B" w:rsidRPr="00C01ED0" w:rsidRDefault="002B6462" w:rsidP="002B6462">
      <w:pPr>
        <w:spacing w:line="276" w:lineRule="auto"/>
        <w:ind w:firstLine="360"/>
        <w:jc w:val="both"/>
        <w:rPr>
          <w:rFonts w:cs="Times New Roman"/>
          <w:sz w:val="22"/>
        </w:rPr>
      </w:pPr>
      <w:r w:rsidRPr="002B6462">
        <w:rPr>
          <w:rFonts w:cs="Times New Roman"/>
          <w:sz w:val="22"/>
        </w:rPr>
        <w:t xml:space="preserve">Because each flow is computed from a change in a physical variable, its sign follows that change. A decline in fuel consumption, for example, enters as a negative value. We then </w:t>
      </w:r>
      <w:proofErr w:type="gramStart"/>
      <w:r w:rsidRPr="002B6462">
        <w:rPr>
          <w:rFonts w:cs="Times New Roman"/>
          <w:sz w:val="22"/>
        </w:rPr>
        <w:t>apply</w:t>
      </w:r>
      <w:proofErr w:type="gramEnd"/>
      <w:r w:rsidRPr="002B6462">
        <w:rPr>
          <w:rFonts w:cs="Times New Roman"/>
          <w:sz w:val="22"/>
        </w:rPr>
        <w:t xml:space="preserve"> an economic orientation rule. Expenditure lines increase final demand and support employment, while savings lines reduce it by withdrawing spending that previously supported employment in fossil-fuel supply chains. Net employment is the sum of these positive and negative effects. One limitation of this approach is that savings are not reallocated within the model. Avoided expenditure therefore reduces demand without replacement. The estimates exclude employment that might be supported by redirected household consumption, for example. The net figure is thus a partial accounting of final-demand changes.</w:t>
      </w:r>
    </w:p>
    <w:p w14:paraId="2D3A251E" w14:textId="77777777" w:rsidR="006F1249" w:rsidRPr="00C01ED0" w:rsidRDefault="00000000" w:rsidP="006F1249">
      <w:pPr>
        <w:pStyle w:val="Heading1"/>
        <w:numPr>
          <w:ilvl w:val="0"/>
          <w:numId w:val="10"/>
        </w:numPr>
        <w:spacing w:line="276" w:lineRule="auto"/>
        <w:jc w:val="both"/>
        <w:rPr>
          <w:rFonts w:ascii="Times New Roman" w:hAnsi="Times New Roman" w:cs="Times New Roman"/>
        </w:rPr>
      </w:pPr>
      <w:r w:rsidRPr="00C01ED0">
        <w:rPr>
          <w:rFonts w:ascii="Times New Roman" w:hAnsi="Times New Roman" w:cs="Times New Roman"/>
        </w:rPr>
        <w:t>Results</w:t>
      </w:r>
    </w:p>
    <w:p w14:paraId="62B985B8" w14:textId="3B70E063" w:rsidR="00176F88" w:rsidRDefault="001A6D27" w:rsidP="00086340">
      <w:pPr>
        <w:pStyle w:val="Heading2"/>
        <w:numPr>
          <w:ilvl w:val="1"/>
          <w:numId w:val="10"/>
        </w:numPr>
        <w:rPr>
          <w:rFonts w:ascii="Times New Roman" w:hAnsi="Times New Roman" w:cs="Times New Roman"/>
        </w:rPr>
      </w:pPr>
      <w:r>
        <w:rPr>
          <w:rFonts w:ascii="Times New Roman" w:hAnsi="Times New Roman" w:cs="Times New Roman"/>
        </w:rPr>
        <w:t xml:space="preserve"> </w:t>
      </w:r>
      <w:r w:rsidR="00E61B7A">
        <w:rPr>
          <w:rFonts w:ascii="Times New Roman" w:hAnsi="Times New Roman" w:cs="Times New Roman"/>
        </w:rPr>
        <w:t>Case Study: Morocco</w:t>
      </w:r>
    </w:p>
    <w:p w14:paraId="1E254719" w14:textId="6D39A40B" w:rsidR="006C35D3" w:rsidRDefault="005F6D5C" w:rsidP="006C35D3">
      <w:pPr>
        <w:spacing w:line="276" w:lineRule="auto"/>
        <w:ind w:firstLine="360"/>
        <w:jc w:val="both"/>
        <w:rPr>
          <w:sz w:val="22"/>
          <w:szCs w:val="20"/>
        </w:rPr>
      </w:pPr>
      <w:r w:rsidRPr="005F6D5C">
        <w:rPr>
          <w:sz w:val="22"/>
          <w:szCs w:val="20"/>
        </w:rPr>
        <w:t xml:space="preserve">Morocco, a lower-middle-income country in northwestern Africa, faces substantial climate vulnerability. Temperatures have increased faster than the global average since the 1960s. At the same time, the country has an energy-intensive economy that remains highly dependent on fossil fuels, which </w:t>
      </w:r>
      <w:r w:rsidRPr="005F6D5C">
        <w:rPr>
          <w:sz w:val="22"/>
          <w:szCs w:val="20"/>
        </w:rPr>
        <w:lastRenderedPageBreak/>
        <w:t>underlines the need for a sustained transition toward lower-carbon energy sources.</w:t>
      </w:r>
      <w:r w:rsidR="00CF1E47">
        <w:rPr>
          <w:rStyle w:val="FootnoteReference"/>
          <w:sz w:val="22"/>
          <w:szCs w:val="20"/>
        </w:rPr>
        <w:footnoteReference w:id="12"/>
      </w:r>
      <w:r w:rsidRPr="005F6D5C">
        <w:rPr>
          <w:sz w:val="22"/>
          <w:szCs w:val="20"/>
        </w:rPr>
        <w:t xml:space="preserve">  Morocco is also among the most water-stressed countries globally.</w:t>
      </w:r>
      <w:r w:rsidR="00CF1E47">
        <w:rPr>
          <w:rStyle w:val="FootnoteReference"/>
          <w:sz w:val="22"/>
          <w:szCs w:val="20"/>
        </w:rPr>
        <w:footnoteReference w:id="13"/>
      </w:r>
      <w:r w:rsidRPr="005F6D5C">
        <w:rPr>
          <w:sz w:val="22"/>
          <w:szCs w:val="20"/>
        </w:rPr>
        <w:t xml:space="preserve">  Rainfed agriculture (e.g., wheat and barley production, accounts for 80 percent of cultivated land, employs most of the agricultural workforce, and is particularly exposed to changes in water availability and crop yields (World Bank, 2022). Water scarcity could reduce GDP by up to 6.5% over the long term and contribute to urban out-migration of up to 1.9 million people (5.4% of the population) by 2050 (World Bank, 2022). Between 2015 and 2024, rural employment fell by close to one quarter (1.2 million workers). This period also saw increasingly frequent and severe droughts. Taken together, these conditions make climate action important for limiting Morocco’s exposure to worsening climate risks. Climate investments that generate employment may offer one way to pursue development objectives while addressing longer-term climate needs.</w:t>
      </w:r>
    </w:p>
    <w:p w14:paraId="1D0C6833" w14:textId="0F8E0CB2" w:rsidR="006C35D3" w:rsidRDefault="005F6D5C" w:rsidP="006C35D3">
      <w:pPr>
        <w:spacing w:line="276" w:lineRule="auto"/>
        <w:ind w:firstLine="360"/>
        <w:jc w:val="both"/>
        <w:rPr>
          <w:sz w:val="22"/>
          <w:szCs w:val="20"/>
        </w:rPr>
      </w:pPr>
      <w:r w:rsidRPr="005F6D5C">
        <w:rPr>
          <w:sz w:val="22"/>
          <w:szCs w:val="20"/>
        </w:rPr>
        <w:t>Morocco’s greenhouse gas emissions have risen substantially over the past two decades.</w:t>
      </w:r>
      <w:r w:rsidR="00CF1E47">
        <w:rPr>
          <w:rStyle w:val="FootnoteReference"/>
          <w:sz w:val="22"/>
          <w:szCs w:val="20"/>
        </w:rPr>
        <w:footnoteReference w:id="14"/>
      </w:r>
      <w:r w:rsidRPr="005F6D5C">
        <w:rPr>
          <w:sz w:val="22"/>
          <w:szCs w:val="20"/>
        </w:rPr>
        <w:t xml:space="preserve">  In 2018, the energy sector accounted for 65.1% of total gross emissions, followed by agriculture at 22.1% (World Bank, 2022). Reliance on imported fossil fuels</w:t>
      </w:r>
      <w:r w:rsidR="00F91FED">
        <w:rPr>
          <w:rStyle w:val="FootnoteReference"/>
          <w:sz w:val="22"/>
          <w:szCs w:val="20"/>
        </w:rPr>
        <w:footnoteReference w:id="15"/>
      </w:r>
      <w:r w:rsidRPr="005F6D5C">
        <w:rPr>
          <w:sz w:val="22"/>
          <w:szCs w:val="20"/>
        </w:rPr>
        <w:t>, and the resulting exposure to international price shocks, have contributed to the expansion of renewable energy in the country, which accounted for around 20% of the power generation mix in 2021 (World Bank, 2022). As rainfall has declined, hydropower’s contribution to installed capacity has fallen, while solar and wind generation have expanded in later years, drawing on Morocco’s solar and wind resources. Coal-fired capacity nevertheless accounted for 39% of total generation capacity in 2021 and remained a major source of emissions in the power sector (World Bank, 2022).</w:t>
      </w:r>
    </w:p>
    <w:p w14:paraId="76DD6995" w14:textId="6B555867" w:rsidR="005F6D5C" w:rsidRPr="00E61B7A" w:rsidRDefault="005F6D5C" w:rsidP="006C35D3">
      <w:pPr>
        <w:spacing w:line="276" w:lineRule="auto"/>
        <w:ind w:firstLine="360"/>
        <w:jc w:val="both"/>
        <w:rPr>
          <w:sz w:val="22"/>
          <w:szCs w:val="20"/>
        </w:rPr>
      </w:pPr>
      <w:r w:rsidRPr="005F6D5C">
        <w:rPr>
          <w:sz w:val="22"/>
          <w:szCs w:val="20"/>
        </w:rPr>
        <w:t>Agriculture is highly exposed to climate conditions and accounts for 13% of GDP, employing 26.3% of Morocco's workforce in 2023 (World Bank, 2026). Between 2000 and 2023, the share of workers in agriculture fell (-19.6 p.p.), shifting workers to industry and services (World Bank, 2026). Rural labor-market employment has followed an overall downward trend, with substantial fluctuations when drought reduces rainfed crop production (World Bank, 2022). Morocco is the world’s second-largest phosphate producer and holds approximately 70% of known global phosphate reserves (U.S. Geological Survey, 2026). The state-owned OCP Group has plans to increase clean-energy use, including through green ammonia. Green ammonia</w:t>
      </w:r>
      <w:r w:rsidR="006C35D3">
        <w:rPr>
          <w:rStyle w:val="FootnoteReference"/>
          <w:sz w:val="22"/>
          <w:szCs w:val="20"/>
        </w:rPr>
        <w:footnoteReference w:id="16"/>
      </w:r>
      <w:r w:rsidRPr="005F6D5C">
        <w:rPr>
          <w:sz w:val="22"/>
          <w:szCs w:val="20"/>
        </w:rPr>
        <w:t xml:space="preserve"> may be used in long-distance transport and as a substitute for natural gas in power generation (Adeli et al., 2023; World Bank, 2022). Morocco's automotive industry has become an important part of its manufacturing and export sectors. The country has attracted electric-vehicle investment as European automakers expand production. Its close economic links with the European Union may support continued access to European markets and further investment in lower-carbon manufacturing (World Bank, 2026; World Bank, 2022). These conditions shape the economic and employment context for climate mitigation investments in Morocco.</w:t>
      </w:r>
    </w:p>
    <w:p w14:paraId="335FC59D" w14:textId="70F8CF60" w:rsidR="00176F88" w:rsidRDefault="001A6D27" w:rsidP="00D05373">
      <w:pPr>
        <w:pStyle w:val="Heading2"/>
        <w:numPr>
          <w:ilvl w:val="1"/>
          <w:numId w:val="10"/>
        </w:numPr>
        <w:rPr>
          <w:rFonts w:ascii="Times New Roman" w:hAnsi="Times New Roman" w:cs="Times New Roman"/>
        </w:rPr>
      </w:pPr>
      <w:r>
        <w:rPr>
          <w:rFonts w:ascii="Times New Roman" w:hAnsi="Times New Roman" w:cs="Times New Roman"/>
        </w:rPr>
        <w:lastRenderedPageBreak/>
        <w:t xml:space="preserve"> Main Results</w:t>
      </w:r>
    </w:p>
    <w:p w14:paraId="1371892E" w14:textId="0526EA66" w:rsidR="00E32354" w:rsidRPr="00FC5183" w:rsidRDefault="00E35F86" w:rsidP="00745CA6">
      <w:pPr>
        <w:spacing w:line="276" w:lineRule="auto"/>
        <w:ind w:firstLine="360"/>
        <w:jc w:val="both"/>
        <w:rPr>
          <w:color w:val="000000" w:themeColor="text1"/>
          <w:sz w:val="22"/>
          <w:szCs w:val="20"/>
        </w:rPr>
      </w:pPr>
      <w:r w:rsidRPr="00E35F86">
        <w:rPr>
          <w:color w:val="000000" w:themeColor="text1"/>
          <w:sz w:val="22"/>
          <w:szCs w:val="20"/>
        </w:rPr>
        <w:t xml:space="preserve">Our estimates cover the 18 transformations for which cost structures are defined. Together they involve $60.7 billion of additional spending relative to the baseline and $16.7 billion of avoided spending, summed across the </w:t>
      </w:r>
      <w:r w:rsidR="002246CC">
        <w:rPr>
          <w:color w:val="000000" w:themeColor="text1"/>
          <w:sz w:val="22"/>
          <w:szCs w:val="20"/>
        </w:rPr>
        <w:t>33-year period covered in this exercise</w:t>
      </w:r>
      <w:r w:rsidRPr="00E35F86">
        <w:rPr>
          <w:color w:val="000000" w:themeColor="text1"/>
          <w:sz w:val="22"/>
          <w:szCs w:val="20"/>
        </w:rPr>
        <w:t>.</w:t>
      </w:r>
      <w:r w:rsidR="002246CC">
        <w:rPr>
          <w:color w:val="000000" w:themeColor="text1"/>
          <w:sz w:val="22"/>
          <w:szCs w:val="20"/>
        </w:rPr>
        <w:t xml:space="preserve"> N</w:t>
      </w:r>
      <w:r w:rsidR="00E32354" w:rsidRPr="00FC5183">
        <w:rPr>
          <w:color w:val="000000" w:themeColor="text1"/>
          <w:sz w:val="22"/>
          <w:szCs w:val="20"/>
        </w:rPr>
        <w:t xml:space="preserve">et employment is below the baseline from </w:t>
      </w:r>
      <m:oMath>
        <m:sSub>
          <m:sSubPr>
            <m:ctrlPr>
              <w:rPr>
                <w:rFonts w:ascii="Cambria Math" w:hAnsi="Cambria Math"/>
                <w:i/>
                <w:color w:val="000000" w:themeColor="text1"/>
                <w:sz w:val="22"/>
                <w:szCs w:val="20"/>
              </w:rPr>
            </m:ctrlPr>
          </m:sSubPr>
          <m:e>
            <m:r>
              <w:rPr>
                <w:rFonts w:ascii="Cambria Math" w:hAnsi="Cambria Math"/>
                <w:color w:val="000000" w:themeColor="text1"/>
                <w:sz w:val="22"/>
                <w:szCs w:val="20"/>
              </w:rPr>
              <m:t>t</m:t>
            </m:r>
          </m:e>
          <m:sub>
            <m:r>
              <w:rPr>
                <w:rFonts w:ascii="Cambria Math" w:hAnsi="Cambria Math"/>
                <w:color w:val="000000" w:themeColor="text1"/>
                <w:sz w:val="22"/>
                <w:szCs w:val="20"/>
              </w:rPr>
              <m:t>3</m:t>
            </m:r>
          </m:sub>
        </m:sSub>
      </m:oMath>
      <w:r w:rsidR="00C80FB3" w:rsidRPr="00FC5183">
        <w:rPr>
          <w:color w:val="000000" w:themeColor="text1"/>
          <w:sz w:val="22"/>
          <w:szCs w:val="20"/>
        </w:rPr>
        <w:t xml:space="preserve"> to </w:t>
      </w:r>
      <m:oMath>
        <m:sSub>
          <m:sSubPr>
            <m:ctrlPr>
              <w:rPr>
                <w:rFonts w:ascii="Cambria Math" w:hAnsi="Cambria Math"/>
                <w:i/>
                <w:color w:val="000000" w:themeColor="text1"/>
                <w:sz w:val="22"/>
                <w:szCs w:val="20"/>
              </w:rPr>
            </m:ctrlPr>
          </m:sSubPr>
          <m:e>
            <m:r>
              <w:rPr>
                <w:rFonts w:ascii="Cambria Math" w:hAnsi="Cambria Math"/>
                <w:color w:val="000000" w:themeColor="text1"/>
                <w:sz w:val="22"/>
                <w:szCs w:val="20"/>
              </w:rPr>
              <m:t>t</m:t>
            </m:r>
          </m:e>
          <m:sub>
            <m:r>
              <w:rPr>
                <w:rFonts w:ascii="Cambria Math" w:hAnsi="Cambria Math"/>
                <w:color w:val="000000" w:themeColor="text1"/>
                <w:sz w:val="22"/>
                <w:szCs w:val="20"/>
              </w:rPr>
              <m:t>8</m:t>
            </m:r>
          </m:sub>
        </m:sSub>
      </m:oMath>
      <w:r w:rsidR="00E32354" w:rsidRPr="00FC5183">
        <w:rPr>
          <w:color w:val="000000" w:themeColor="text1"/>
          <w:sz w:val="22"/>
          <w:szCs w:val="20"/>
        </w:rPr>
        <w:t xml:space="preserve"> and above it from </w:t>
      </w:r>
      <m:oMath>
        <m:sSub>
          <m:sSubPr>
            <m:ctrlPr>
              <w:rPr>
                <w:rFonts w:ascii="Cambria Math" w:hAnsi="Cambria Math"/>
                <w:i/>
                <w:color w:val="000000" w:themeColor="text1"/>
                <w:sz w:val="22"/>
                <w:szCs w:val="20"/>
              </w:rPr>
            </m:ctrlPr>
          </m:sSubPr>
          <m:e>
            <m:r>
              <w:rPr>
                <w:rFonts w:ascii="Cambria Math" w:hAnsi="Cambria Math"/>
                <w:color w:val="000000" w:themeColor="text1"/>
                <w:sz w:val="22"/>
                <w:szCs w:val="20"/>
              </w:rPr>
              <m:t>t</m:t>
            </m:r>
          </m:e>
          <m:sub>
            <m:r>
              <w:rPr>
                <w:rFonts w:ascii="Cambria Math" w:hAnsi="Cambria Math"/>
                <w:color w:val="000000" w:themeColor="text1"/>
                <w:sz w:val="22"/>
                <w:szCs w:val="20"/>
              </w:rPr>
              <m:t>9</m:t>
            </m:r>
          </m:sub>
        </m:sSub>
      </m:oMath>
      <w:r w:rsidR="00C80FB3" w:rsidRPr="00FC5183">
        <w:rPr>
          <w:color w:val="000000" w:themeColor="text1"/>
          <w:sz w:val="22"/>
          <w:szCs w:val="20"/>
        </w:rPr>
        <w:t xml:space="preserve"> </w:t>
      </w:r>
      <w:r w:rsidR="00E32354" w:rsidRPr="00FC5183">
        <w:rPr>
          <w:color w:val="000000" w:themeColor="text1"/>
          <w:sz w:val="22"/>
          <w:szCs w:val="20"/>
        </w:rPr>
        <w:t xml:space="preserve">onward. </w:t>
      </w:r>
      <w:r w:rsidR="00C80FB3" w:rsidRPr="00FC5183">
        <w:rPr>
          <w:color w:val="000000" w:themeColor="text1"/>
          <w:sz w:val="22"/>
          <w:szCs w:val="20"/>
        </w:rPr>
        <w:t xml:space="preserve">By </w:t>
      </w:r>
      <m:oMath>
        <m:sSub>
          <m:sSubPr>
            <m:ctrlPr>
              <w:rPr>
                <w:rFonts w:ascii="Cambria Math" w:hAnsi="Cambria Math"/>
                <w:i/>
                <w:color w:val="000000" w:themeColor="text1"/>
                <w:sz w:val="22"/>
                <w:szCs w:val="20"/>
              </w:rPr>
            </m:ctrlPr>
          </m:sSubPr>
          <m:e>
            <m:r>
              <w:rPr>
                <w:rFonts w:ascii="Cambria Math" w:hAnsi="Cambria Math"/>
                <w:color w:val="000000" w:themeColor="text1"/>
                <w:sz w:val="22"/>
                <w:szCs w:val="20"/>
              </w:rPr>
              <m:t>t</m:t>
            </m:r>
          </m:e>
          <m:sub>
            <m:r>
              <w:rPr>
                <w:rFonts w:ascii="Cambria Math" w:hAnsi="Cambria Math"/>
                <w:color w:val="000000" w:themeColor="text1"/>
                <w:sz w:val="22"/>
                <w:szCs w:val="20"/>
              </w:rPr>
              <m:t>33</m:t>
            </m:r>
          </m:sub>
        </m:sSub>
      </m:oMath>
      <w:r w:rsidR="00E32354" w:rsidRPr="00FC5183">
        <w:rPr>
          <w:color w:val="000000" w:themeColor="text1"/>
          <w:sz w:val="22"/>
          <w:szCs w:val="20"/>
        </w:rPr>
        <w:t>, net employment is 37,166 jobs above the baseline, approximately 0.3</w:t>
      </w:r>
      <w:r w:rsidR="00C80FB3" w:rsidRPr="00FC5183">
        <w:rPr>
          <w:color w:val="000000" w:themeColor="text1"/>
          <w:sz w:val="22"/>
          <w:szCs w:val="20"/>
        </w:rPr>
        <w:t>%</w:t>
      </w:r>
      <w:r w:rsidR="00E32354" w:rsidRPr="00FC5183">
        <w:rPr>
          <w:color w:val="000000" w:themeColor="text1"/>
          <w:sz w:val="22"/>
          <w:szCs w:val="20"/>
        </w:rPr>
        <w:t xml:space="preserve"> of Morocco’s labor force</w:t>
      </w:r>
      <w:r w:rsidR="00C80FB3" w:rsidRPr="00FC5183">
        <w:rPr>
          <w:rStyle w:val="FootnoteReference"/>
          <w:color w:val="000000" w:themeColor="text1"/>
          <w:sz w:val="22"/>
          <w:szCs w:val="20"/>
        </w:rPr>
        <w:footnoteReference w:id="17"/>
      </w:r>
      <w:r w:rsidR="00E32354" w:rsidRPr="00FC5183">
        <w:rPr>
          <w:color w:val="000000" w:themeColor="text1"/>
          <w:sz w:val="22"/>
          <w:szCs w:val="20"/>
        </w:rPr>
        <w:t xml:space="preserve">. The sum of annual net employment effects over the 33 periods is 601,737 job-years, nearly </w:t>
      </w:r>
      <w:r w:rsidR="00BF4EC2" w:rsidRPr="00FC5183">
        <w:rPr>
          <w:color w:val="000000" w:themeColor="text1"/>
          <w:sz w:val="22"/>
          <w:szCs w:val="20"/>
        </w:rPr>
        <w:t>85%</w:t>
      </w:r>
      <w:r w:rsidR="00E32354" w:rsidRPr="00FC5183">
        <w:rPr>
          <w:color w:val="000000" w:themeColor="text1"/>
          <w:sz w:val="22"/>
          <w:szCs w:val="20"/>
        </w:rPr>
        <w:t xml:space="preserve"> of which accrue from </w:t>
      </w:r>
      <m:oMath>
        <m:sSub>
          <m:sSubPr>
            <m:ctrlPr>
              <w:rPr>
                <w:rFonts w:ascii="Cambria Math" w:hAnsi="Cambria Math"/>
                <w:i/>
                <w:color w:val="000000" w:themeColor="text1"/>
                <w:sz w:val="22"/>
                <w:szCs w:val="20"/>
              </w:rPr>
            </m:ctrlPr>
          </m:sSubPr>
          <m:e>
            <m:r>
              <w:rPr>
                <w:rFonts w:ascii="Cambria Math" w:hAnsi="Cambria Math"/>
                <w:color w:val="000000" w:themeColor="text1"/>
                <w:sz w:val="22"/>
                <w:szCs w:val="20"/>
              </w:rPr>
              <m:t>t</m:t>
            </m:r>
          </m:e>
          <m:sub>
            <m:r>
              <w:rPr>
                <w:rFonts w:ascii="Cambria Math" w:hAnsi="Cambria Math"/>
                <w:color w:val="000000" w:themeColor="text1"/>
                <w:sz w:val="22"/>
                <w:szCs w:val="20"/>
              </w:rPr>
              <m:t>19</m:t>
            </m:r>
          </m:sub>
        </m:sSub>
      </m:oMath>
      <w:r w:rsidR="00BF4EC2" w:rsidRPr="00FC5183">
        <w:rPr>
          <w:color w:val="000000" w:themeColor="text1"/>
          <w:sz w:val="22"/>
          <w:szCs w:val="20"/>
        </w:rPr>
        <w:t xml:space="preserve"> </w:t>
      </w:r>
      <w:r w:rsidR="00E32354" w:rsidRPr="00FC5183">
        <w:rPr>
          <w:color w:val="000000" w:themeColor="text1"/>
          <w:sz w:val="22"/>
          <w:szCs w:val="20"/>
        </w:rPr>
        <w:t xml:space="preserve">onward. </w:t>
      </w:r>
      <w:r w:rsidR="00285B35" w:rsidRPr="00285B35">
        <w:rPr>
          <w:color w:val="000000" w:themeColor="text1"/>
          <w:sz w:val="22"/>
          <w:szCs w:val="20"/>
        </w:rPr>
        <w:t>A job-year denotes one job sustained for one period</w:t>
      </w:r>
      <w:r w:rsidR="00285B35">
        <w:rPr>
          <w:color w:val="000000" w:themeColor="text1"/>
          <w:sz w:val="22"/>
          <w:szCs w:val="20"/>
        </w:rPr>
        <w:t>.</w:t>
      </w:r>
      <w:r w:rsidR="00285B35" w:rsidRPr="00285B35">
        <w:rPr>
          <w:color w:val="000000" w:themeColor="text1"/>
          <w:sz w:val="22"/>
          <w:szCs w:val="20"/>
        </w:rPr>
        <w:t xml:space="preserve"> </w:t>
      </w:r>
      <w:r w:rsidR="00285B35">
        <w:rPr>
          <w:color w:val="000000" w:themeColor="text1"/>
          <w:sz w:val="22"/>
          <w:szCs w:val="20"/>
        </w:rPr>
        <w:t>T</w:t>
      </w:r>
      <w:r w:rsidR="00285B35" w:rsidRPr="00285B35">
        <w:rPr>
          <w:color w:val="000000" w:themeColor="text1"/>
          <w:sz w:val="22"/>
          <w:szCs w:val="20"/>
        </w:rPr>
        <w:t>he total therefore reflects labor demand over the horizon rather than the number of individuals employed</w:t>
      </w:r>
      <w:r w:rsidR="00507677">
        <w:rPr>
          <w:rStyle w:val="FootnoteReference"/>
          <w:color w:val="000000" w:themeColor="text1"/>
          <w:sz w:val="22"/>
          <w:szCs w:val="20"/>
        </w:rPr>
        <w:footnoteReference w:id="18"/>
      </w:r>
      <w:r w:rsidR="00E32354" w:rsidRPr="00FC5183">
        <w:rPr>
          <w:color w:val="000000" w:themeColor="text1"/>
          <w:sz w:val="22"/>
          <w:szCs w:val="20"/>
        </w:rPr>
        <w:t>. Figure 2 shows the annual series by sector, with net employment across all sectors shown as a line.</w:t>
      </w:r>
    </w:p>
    <w:p w14:paraId="2B510CBF" w14:textId="705AC207" w:rsidR="009A6264" w:rsidRPr="00FC5183" w:rsidRDefault="009A6264" w:rsidP="00264063">
      <w:pPr>
        <w:spacing w:line="276" w:lineRule="auto"/>
        <w:ind w:firstLine="360"/>
        <w:jc w:val="both"/>
        <w:rPr>
          <w:color w:val="000000" w:themeColor="text1"/>
          <w:sz w:val="22"/>
          <w:szCs w:val="20"/>
        </w:rPr>
      </w:pPr>
      <w:r w:rsidRPr="00FC5183">
        <w:rPr>
          <w:color w:val="000000" w:themeColor="text1"/>
          <w:sz w:val="22"/>
          <w:szCs w:val="20"/>
        </w:rPr>
        <w:t>The timing of the result follows the timing and composition of spending. Employment coefficients are fixed</w:t>
      </w:r>
      <w:r w:rsidR="002B70EB">
        <w:rPr>
          <w:color w:val="000000" w:themeColor="text1"/>
          <w:sz w:val="22"/>
          <w:szCs w:val="20"/>
        </w:rPr>
        <w:t xml:space="preserve"> over time</w:t>
      </w:r>
      <w:r w:rsidRPr="00FC5183">
        <w:rPr>
          <w:color w:val="000000" w:themeColor="text1"/>
          <w:sz w:val="22"/>
          <w:szCs w:val="20"/>
        </w:rPr>
        <w:t xml:space="preserve">, while spending depends on the level of implementation. Implementation begins for most of the portfolio around t₉ and approaches its maximum late in the horizon. As implementation approaches its maximum, </w:t>
      </w:r>
      <w:proofErr w:type="gramStart"/>
      <w:r w:rsidRPr="00FC5183">
        <w:rPr>
          <w:color w:val="000000" w:themeColor="text1"/>
          <w:sz w:val="22"/>
          <w:szCs w:val="20"/>
        </w:rPr>
        <w:t>employment</w:t>
      </w:r>
      <w:proofErr w:type="gramEnd"/>
      <w:r w:rsidRPr="00FC5183">
        <w:rPr>
          <w:color w:val="000000" w:themeColor="text1"/>
          <w:sz w:val="22"/>
          <w:szCs w:val="20"/>
        </w:rPr>
        <w:t xml:space="preserve"> from direct investment </w:t>
      </w:r>
      <w:r w:rsidR="00134B95" w:rsidRPr="00FC5183">
        <w:rPr>
          <w:color w:val="000000" w:themeColor="text1"/>
          <w:sz w:val="22"/>
          <w:szCs w:val="20"/>
        </w:rPr>
        <w:t>purchases,</w:t>
      </w:r>
      <w:r w:rsidRPr="00FC5183">
        <w:rPr>
          <w:color w:val="000000" w:themeColor="text1"/>
          <w:sz w:val="22"/>
          <w:szCs w:val="20"/>
        </w:rPr>
        <w:t xml:space="preserve"> grows more slowly, while employment associated with displaced spending continues to rise</w:t>
      </w:r>
      <w:r w:rsidRPr="00FC5183">
        <w:rPr>
          <w:color w:val="000000" w:themeColor="text1"/>
        </w:rPr>
        <w:t xml:space="preserve"> </w:t>
      </w:r>
      <w:r w:rsidRPr="00FC5183">
        <w:rPr>
          <w:color w:val="000000" w:themeColor="text1"/>
          <w:sz w:val="22"/>
          <w:szCs w:val="20"/>
        </w:rPr>
        <w:t>as the transformations’ co-benefits are realized</w:t>
      </w:r>
      <w:r w:rsidR="00BA5CC0">
        <w:rPr>
          <w:color w:val="000000" w:themeColor="text1"/>
          <w:sz w:val="22"/>
          <w:szCs w:val="20"/>
        </w:rPr>
        <w:t xml:space="preserve"> (e.g., avoided</w:t>
      </w:r>
      <w:r w:rsidR="00BA5CC0" w:rsidRPr="00BA5CC0">
        <w:rPr>
          <w:color w:val="000000" w:themeColor="text1"/>
          <w:sz w:val="22"/>
          <w:szCs w:val="20"/>
        </w:rPr>
        <w:t xml:space="preserve"> fuel</w:t>
      </w:r>
      <w:r w:rsidR="004D1F80">
        <w:rPr>
          <w:color w:val="000000" w:themeColor="text1"/>
          <w:sz w:val="22"/>
          <w:szCs w:val="20"/>
        </w:rPr>
        <w:t xml:space="preserve"> costs</w:t>
      </w:r>
      <w:r w:rsidR="00BA5CC0">
        <w:rPr>
          <w:color w:val="000000" w:themeColor="text1"/>
          <w:sz w:val="22"/>
          <w:szCs w:val="20"/>
        </w:rPr>
        <w:t>)</w:t>
      </w:r>
      <w:r w:rsidRPr="00FC5183">
        <w:rPr>
          <w:color w:val="000000" w:themeColor="text1"/>
          <w:sz w:val="22"/>
          <w:szCs w:val="20"/>
        </w:rPr>
        <w:t>. The series flattens as these effects offset each other. The 601,737 net job-years are the difference between 785,532 job-years on the investment side and 183,795 job-years on the displaced side.</w:t>
      </w:r>
    </w:p>
    <w:p w14:paraId="7893C436" w14:textId="6D21A6FF" w:rsidR="009344CE" w:rsidRPr="00FC5183" w:rsidRDefault="00745CA6" w:rsidP="00745CA6">
      <w:pPr>
        <w:spacing w:line="276" w:lineRule="auto"/>
        <w:ind w:firstLine="360"/>
        <w:jc w:val="both"/>
        <w:rPr>
          <w:color w:val="000000" w:themeColor="text1"/>
          <w:sz w:val="22"/>
          <w:szCs w:val="20"/>
        </w:rPr>
      </w:pPr>
      <w:r w:rsidRPr="00FC5183">
        <w:rPr>
          <w:color w:val="000000" w:themeColor="text1"/>
          <w:sz w:val="22"/>
          <w:szCs w:val="20"/>
        </w:rPr>
        <w:t>Two transformations account for 88.6</w:t>
      </w:r>
      <w:r w:rsidR="00C13B6F" w:rsidRPr="00FC5183">
        <w:rPr>
          <w:color w:val="000000" w:themeColor="text1"/>
          <w:sz w:val="22"/>
          <w:szCs w:val="20"/>
        </w:rPr>
        <w:t xml:space="preserve">% </w:t>
      </w:r>
      <w:r w:rsidRPr="00FC5183">
        <w:rPr>
          <w:color w:val="000000" w:themeColor="text1"/>
          <w:sz w:val="22"/>
          <w:szCs w:val="20"/>
        </w:rPr>
        <w:t xml:space="preserve">of the net total. Reducing building heat demand through </w:t>
      </w:r>
      <w:r w:rsidR="00167FE6" w:rsidRPr="00FC5183">
        <w:rPr>
          <w:color w:val="000000" w:themeColor="text1"/>
          <w:sz w:val="22"/>
          <w:szCs w:val="20"/>
        </w:rPr>
        <w:t>improved</w:t>
      </w:r>
      <w:r w:rsidRPr="00FC5183">
        <w:rPr>
          <w:color w:val="000000" w:themeColor="text1"/>
          <w:sz w:val="22"/>
          <w:szCs w:val="20"/>
        </w:rPr>
        <w:t xml:space="preserve"> building </w:t>
      </w:r>
      <w:r w:rsidR="00167FE6" w:rsidRPr="00FC5183">
        <w:rPr>
          <w:color w:val="000000" w:themeColor="text1"/>
          <w:sz w:val="22"/>
          <w:szCs w:val="20"/>
        </w:rPr>
        <w:t>insulation</w:t>
      </w:r>
      <w:r w:rsidRPr="00FC5183">
        <w:rPr>
          <w:color w:val="000000" w:themeColor="text1"/>
          <w:sz w:val="22"/>
          <w:szCs w:val="20"/>
        </w:rPr>
        <w:t xml:space="preserve"> supports 290,577 job-years, while raising industrial energy efficiency</w:t>
      </w:r>
      <w:r w:rsidR="00AB4872" w:rsidRPr="00FC5183">
        <w:rPr>
          <w:color w:val="000000" w:themeColor="text1"/>
          <w:sz w:val="22"/>
          <w:szCs w:val="20"/>
        </w:rPr>
        <w:t xml:space="preserve"> </w:t>
      </w:r>
      <w:r w:rsidRPr="00FC5183">
        <w:rPr>
          <w:color w:val="000000" w:themeColor="text1"/>
          <w:sz w:val="22"/>
          <w:szCs w:val="20"/>
        </w:rPr>
        <w:t>supports 242,443</w:t>
      </w:r>
      <w:r w:rsidR="00AB4872" w:rsidRPr="00FC5183">
        <w:rPr>
          <w:color w:val="000000" w:themeColor="text1"/>
          <w:sz w:val="22"/>
          <w:szCs w:val="20"/>
        </w:rPr>
        <w:t xml:space="preserve"> job-years</w:t>
      </w:r>
      <w:r w:rsidRPr="00FC5183">
        <w:rPr>
          <w:color w:val="000000" w:themeColor="text1"/>
          <w:sz w:val="22"/>
          <w:szCs w:val="20"/>
        </w:rPr>
        <w:t xml:space="preserve">. </w:t>
      </w:r>
      <w:r w:rsidR="00ED68D7" w:rsidRPr="00FC5183">
        <w:rPr>
          <w:color w:val="000000" w:themeColor="text1"/>
          <w:sz w:val="22"/>
          <w:szCs w:val="20"/>
        </w:rPr>
        <w:t>Their large employment totals reflect not only the scale of spending but also the sectors in which that spending is allocated</w:t>
      </w:r>
      <w:r w:rsidR="00AB4872" w:rsidRPr="00FC5183">
        <w:rPr>
          <w:color w:val="000000" w:themeColor="text1"/>
          <w:sz w:val="22"/>
          <w:szCs w:val="20"/>
        </w:rPr>
        <w:t xml:space="preserve">. </w:t>
      </w:r>
      <w:r w:rsidR="00491DBD" w:rsidRPr="00491DBD">
        <w:rPr>
          <w:color w:val="000000" w:themeColor="text1"/>
          <w:sz w:val="22"/>
          <w:szCs w:val="20"/>
        </w:rPr>
        <w:t>Both are tied to the same reduction in building energy use, but appliance efficiency is assumed to cost twice as much per unit saved, which helps explain the difference in total spending</w:t>
      </w:r>
      <w:r w:rsidR="00584DA7" w:rsidRPr="00584DA7">
        <w:rPr>
          <w:color w:val="000000" w:themeColor="text1"/>
          <w:sz w:val="22"/>
          <w:szCs w:val="20"/>
        </w:rPr>
        <w:t xml:space="preserve">. </w:t>
      </w:r>
      <w:r w:rsidR="00307F48" w:rsidRPr="00FC5183">
        <w:rPr>
          <w:color w:val="000000" w:themeColor="text1"/>
          <w:sz w:val="22"/>
          <w:szCs w:val="20"/>
        </w:rPr>
        <w:t>Appliance efficiency accounts for $22 billion and returns 3.3 job-years per million dollars. Improved building insulation accounts for $11 billion and returns 26.4 job-years per million dollars.</w:t>
      </w:r>
      <w:r w:rsidR="00322F5D" w:rsidRPr="00FC5183">
        <w:rPr>
          <w:color w:val="000000" w:themeColor="text1"/>
          <w:sz w:val="22"/>
          <w:szCs w:val="20"/>
        </w:rPr>
        <w:t xml:space="preserve"> </w:t>
      </w:r>
      <w:r w:rsidR="00AB4872" w:rsidRPr="00FC5183">
        <w:rPr>
          <w:color w:val="000000" w:themeColor="text1"/>
          <w:sz w:val="22"/>
          <w:szCs w:val="20"/>
        </w:rPr>
        <w:t>Building</w:t>
      </w:r>
      <w:r w:rsidR="00AE7ECB" w:rsidRPr="00FC5183">
        <w:rPr>
          <w:color w:val="000000" w:themeColor="text1"/>
          <w:sz w:val="22"/>
          <w:szCs w:val="20"/>
        </w:rPr>
        <w:t xml:space="preserve"> insulation</w:t>
      </w:r>
      <w:r w:rsidR="00AB4872" w:rsidRPr="00FC5183">
        <w:rPr>
          <w:color w:val="000000" w:themeColor="text1"/>
          <w:sz w:val="22"/>
          <w:szCs w:val="20"/>
        </w:rPr>
        <w:t xml:space="preserve"> </w:t>
      </w:r>
      <w:proofErr w:type="gramStart"/>
      <w:r w:rsidR="00AB4872" w:rsidRPr="00FC5183">
        <w:rPr>
          <w:color w:val="000000" w:themeColor="text1"/>
          <w:sz w:val="22"/>
          <w:szCs w:val="20"/>
        </w:rPr>
        <w:t>work places</w:t>
      </w:r>
      <w:proofErr w:type="gramEnd"/>
      <w:r w:rsidR="00AB4872" w:rsidRPr="00FC5183">
        <w:rPr>
          <w:color w:val="000000" w:themeColor="text1"/>
          <w:sz w:val="22"/>
          <w:szCs w:val="20"/>
        </w:rPr>
        <w:t xml:space="preserve"> </w:t>
      </w:r>
      <w:r w:rsidR="005270E0" w:rsidRPr="00FC5183">
        <w:rPr>
          <w:color w:val="000000" w:themeColor="text1"/>
          <w:sz w:val="22"/>
          <w:szCs w:val="20"/>
        </w:rPr>
        <w:t>nearly 50%</w:t>
      </w:r>
      <w:r w:rsidR="00AB4872" w:rsidRPr="00FC5183">
        <w:rPr>
          <w:color w:val="000000" w:themeColor="text1"/>
          <w:sz w:val="22"/>
          <w:szCs w:val="20"/>
        </w:rPr>
        <w:t xml:space="preserve"> of its employment in construction, which has relatively high employment multipliers</w:t>
      </w:r>
      <w:r w:rsidR="00AE7ECB" w:rsidRPr="00FC5183">
        <w:rPr>
          <w:color w:val="000000" w:themeColor="text1"/>
          <w:sz w:val="22"/>
          <w:szCs w:val="20"/>
        </w:rPr>
        <w:t xml:space="preserve"> compared to other sectors</w:t>
      </w:r>
      <w:r w:rsidR="00216915" w:rsidRPr="00FC5183">
        <w:rPr>
          <w:rStyle w:val="FootnoteReference"/>
          <w:color w:val="000000" w:themeColor="text1"/>
          <w:sz w:val="22"/>
          <w:szCs w:val="20"/>
        </w:rPr>
        <w:footnoteReference w:id="19"/>
      </w:r>
      <w:r w:rsidR="00C227DD" w:rsidRPr="00FC5183">
        <w:rPr>
          <w:color w:val="000000" w:themeColor="text1"/>
          <w:sz w:val="22"/>
          <w:szCs w:val="20"/>
        </w:rPr>
        <w:t xml:space="preserve"> </w:t>
      </w:r>
      <w:r w:rsidR="000566A3" w:rsidRPr="00FC5183">
        <w:rPr>
          <w:color w:val="000000" w:themeColor="text1"/>
          <w:sz w:val="22"/>
          <w:szCs w:val="20"/>
        </w:rPr>
        <w:t xml:space="preserve">(Ernst </w:t>
      </w:r>
      <w:r w:rsidR="00284698" w:rsidRPr="00FC5183">
        <w:rPr>
          <w:color w:val="000000" w:themeColor="text1"/>
          <w:sz w:val="22"/>
          <w:szCs w:val="20"/>
        </w:rPr>
        <w:t>and</w:t>
      </w:r>
      <w:r w:rsidR="000566A3" w:rsidRPr="00FC5183">
        <w:rPr>
          <w:color w:val="000000" w:themeColor="text1"/>
          <w:sz w:val="22"/>
          <w:szCs w:val="20"/>
        </w:rPr>
        <w:t xml:space="preserve"> Sarabia, 2015</w:t>
      </w:r>
      <w:r w:rsidR="00216FDC" w:rsidRPr="00FC5183">
        <w:rPr>
          <w:color w:val="000000" w:themeColor="text1"/>
          <w:sz w:val="22"/>
          <w:szCs w:val="20"/>
        </w:rPr>
        <w:t xml:space="preserve">; </w:t>
      </w:r>
      <w:r w:rsidR="007911EF" w:rsidRPr="00FC5183">
        <w:rPr>
          <w:color w:val="000000" w:themeColor="text1"/>
          <w:sz w:val="22"/>
          <w:szCs w:val="20"/>
        </w:rPr>
        <w:t>Kofoworola and Gheewala, 2008</w:t>
      </w:r>
      <w:r w:rsidR="000566A3" w:rsidRPr="00FC5183">
        <w:rPr>
          <w:color w:val="000000" w:themeColor="text1"/>
          <w:sz w:val="22"/>
          <w:szCs w:val="20"/>
        </w:rPr>
        <w:t>)</w:t>
      </w:r>
      <w:r w:rsidRPr="00FC5183">
        <w:rPr>
          <w:color w:val="000000" w:themeColor="text1"/>
          <w:sz w:val="22"/>
          <w:szCs w:val="20"/>
        </w:rPr>
        <w:t xml:space="preserve">. </w:t>
      </w:r>
    </w:p>
    <w:p w14:paraId="38B0E673" w14:textId="10806B36" w:rsidR="000D5A43" w:rsidRPr="00FC5183" w:rsidRDefault="00710CC7" w:rsidP="00CA35C1">
      <w:pPr>
        <w:spacing w:line="276" w:lineRule="auto"/>
        <w:ind w:firstLine="360"/>
        <w:jc w:val="both"/>
        <w:rPr>
          <w:color w:val="000000" w:themeColor="text1"/>
          <w:sz w:val="22"/>
          <w:szCs w:val="20"/>
        </w:rPr>
      </w:pPr>
      <w:r w:rsidRPr="00FC5183">
        <w:rPr>
          <w:color w:val="000000" w:themeColor="text1"/>
          <w:sz w:val="22"/>
          <w:szCs w:val="20"/>
        </w:rPr>
        <w:t>Sector figures show where employment effects are recorded rather than which transformations generate them. Each sector gains demand from some transformations and loses it from others, and the reported total is the difference between these flows</w:t>
      </w:r>
      <w:r w:rsidR="00745CA6" w:rsidRPr="00FC5183">
        <w:rPr>
          <w:color w:val="000000" w:themeColor="text1"/>
          <w:sz w:val="22"/>
          <w:szCs w:val="20"/>
        </w:rPr>
        <w:t>. Construction accounts for 206,078 job-years, about a third of the total.</w:t>
      </w:r>
      <w:r w:rsidR="001C6F9A" w:rsidRPr="00FC5183">
        <w:rPr>
          <w:color w:val="000000" w:themeColor="text1"/>
          <w:sz w:val="22"/>
          <w:szCs w:val="20"/>
        </w:rPr>
        <w:t xml:space="preserve"> This concentration comes mainly from building-shell work, rather than from a general tendency for low-emissions spending to land in construction. </w:t>
      </w:r>
      <w:r w:rsidR="00E94675" w:rsidRPr="00FC5183">
        <w:rPr>
          <w:color w:val="000000" w:themeColor="text1"/>
          <w:sz w:val="22"/>
          <w:szCs w:val="20"/>
        </w:rPr>
        <w:t>Wholesale and retail trade receives little direct expenditure, but records 103,570 job-years because distribution margins are applied to activity in other sectors</w:t>
      </w:r>
      <w:r w:rsidR="001C6F9A" w:rsidRPr="00FC5183">
        <w:rPr>
          <w:color w:val="000000" w:themeColor="text1"/>
          <w:sz w:val="22"/>
          <w:szCs w:val="20"/>
        </w:rPr>
        <w:t xml:space="preserve">. Across the </w:t>
      </w:r>
      <w:r w:rsidR="000D5A43" w:rsidRPr="00FC5183">
        <w:rPr>
          <w:color w:val="000000" w:themeColor="text1"/>
          <w:sz w:val="22"/>
          <w:szCs w:val="20"/>
        </w:rPr>
        <w:t>portfolio</w:t>
      </w:r>
      <w:r w:rsidR="001C6F9A" w:rsidRPr="00FC5183">
        <w:rPr>
          <w:color w:val="000000" w:themeColor="text1"/>
          <w:sz w:val="22"/>
          <w:szCs w:val="20"/>
        </w:rPr>
        <w:t xml:space="preserve">, 355,744 job-years are direct and 245,993 are indirect. </w:t>
      </w:r>
      <w:r w:rsidR="00E94675" w:rsidRPr="00FC5183">
        <w:rPr>
          <w:color w:val="000000" w:themeColor="text1"/>
          <w:sz w:val="22"/>
          <w:szCs w:val="20"/>
        </w:rPr>
        <w:t xml:space="preserve">Indirect effects account for about 41% of total employment </w:t>
      </w:r>
      <w:r w:rsidR="00CA35C1">
        <w:rPr>
          <w:color w:val="000000" w:themeColor="text1"/>
          <w:sz w:val="22"/>
          <w:szCs w:val="20"/>
        </w:rPr>
        <w:t xml:space="preserve">as these jobs arise in </w:t>
      </w:r>
      <w:r w:rsidR="00CA35C1" w:rsidRPr="00CA35C1">
        <w:rPr>
          <w:color w:val="000000" w:themeColor="text1"/>
          <w:sz w:val="22"/>
          <w:szCs w:val="20"/>
        </w:rPr>
        <w:t>domestic supply chains rather than in the industry that receives the spending</w:t>
      </w:r>
      <w:r w:rsidR="00CA35C1">
        <w:rPr>
          <w:color w:val="000000" w:themeColor="text1"/>
          <w:sz w:val="22"/>
          <w:szCs w:val="20"/>
        </w:rPr>
        <w:t>.</w:t>
      </w:r>
    </w:p>
    <w:p w14:paraId="05785424" w14:textId="4B53AD5F" w:rsidR="004A60E1" w:rsidRPr="00FC5183" w:rsidRDefault="00745CA6" w:rsidP="00880CA3">
      <w:pPr>
        <w:spacing w:line="276" w:lineRule="auto"/>
        <w:ind w:firstLine="360"/>
        <w:jc w:val="both"/>
        <w:rPr>
          <w:color w:val="000000" w:themeColor="text1"/>
          <w:sz w:val="22"/>
          <w:szCs w:val="20"/>
        </w:rPr>
      </w:pPr>
      <w:r w:rsidRPr="00FC5183">
        <w:rPr>
          <w:color w:val="000000" w:themeColor="text1"/>
          <w:sz w:val="22"/>
          <w:szCs w:val="20"/>
        </w:rPr>
        <w:lastRenderedPageBreak/>
        <w:t xml:space="preserve">Transportation and storage </w:t>
      </w:r>
      <w:proofErr w:type="gramStart"/>
      <w:r w:rsidRPr="00FC5183">
        <w:rPr>
          <w:color w:val="000000" w:themeColor="text1"/>
          <w:sz w:val="22"/>
          <w:szCs w:val="20"/>
        </w:rPr>
        <w:t>is</w:t>
      </w:r>
      <w:proofErr w:type="gramEnd"/>
      <w:r w:rsidRPr="00FC5183">
        <w:rPr>
          <w:color w:val="000000" w:themeColor="text1"/>
          <w:sz w:val="22"/>
          <w:szCs w:val="20"/>
        </w:rPr>
        <w:t xml:space="preserve"> the only sector with a negative </w:t>
      </w:r>
      <w:r w:rsidR="00E94675" w:rsidRPr="00FC5183">
        <w:rPr>
          <w:color w:val="000000" w:themeColor="text1"/>
          <w:sz w:val="22"/>
          <w:szCs w:val="20"/>
        </w:rPr>
        <w:t>cumulative employment effect</w:t>
      </w:r>
      <w:r w:rsidR="000C5580" w:rsidRPr="00FC5183">
        <w:rPr>
          <w:color w:val="000000" w:themeColor="text1"/>
          <w:sz w:val="22"/>
          <w:szCs w:val="20"/>
        </w:rPr>
        <w:t>, at 3,203 job-years over the full period. Investment in other transformations generates 65,005 job-years in the sector because transport services are used in the activities represented by those investments. At the same time, avoided expenditure reduces employment in transportation and storage by 68,208 job-years. Fuel no longer purchased for light-duty vehicles accounts for 78 percent of this reduction. The timing of these two effects determines the sector’s net result</w:t>
      </w:r>
      <w:r w:rsidRPr="00FC5183">
        <w:rPr>
          <w:color w:val="000000" w:themeColor="text1"/>
          <w:sz w:val="22"/>
          <w:szCs w:val="20"/>
        </w:rPr>
        <w:t xml:space="preserve">. Displaced fuel first reaches the sector at </w:t>
      </w:r>
      <m:oMath>
        <m:sSub>
          <m:sSubPr>
            <m:ctrlPr>
              <w:rPr>
                <w:rFonts w:ascii="Cambria Math" w:hAnsi="Cambria Math"/>
                <w:i/>
                <w:color w:val="000000" w:themeColor="text1"/>
                <w:sz w:val="22"/>
                <w:szCs w:val="20"/>
              </w:rPr>
            </m:ctrlPr>
          </m:sSubPr>
          <m:e>
            <m:r>
              <w:rPr>
                <w:rFonts w:ascii="Cambria Math" w:hAnsi="Cambria Math"/>
                <w:color w:val="000000" w:themeColor="text1"/>
                <w:sz w:val="22"/>
                <w:szCs w:val="20"/>
              </w:rPr>
              <m:t>t</m:t>
            </m:r>
          </m:e>
          <m:sub>
            <m:r>
              <w:rPr>
                <w:rFonts w:ascii="Cambria Math" w:hAnsi="Cambria Math"/>
                <w:color w:val="000000" w:themeColor="text1"/>
                <w:sz w:val="22"/>
                <w:szCs w:val="20"/>
              </w:rPr>
              <m:t>16</m:t>
            </m:r>
          </m:sub>
        </m:sSub>
      </m:oMath>
      <w:r w:rsidRPr="00FC5183">
        <w:rPr>
          <w:color w:val="000000" w:themeColor="text1"/>
          <w:sz w:val="22"/>
          <w:szCs w:val="20"/>
        </w:rPr>
        <w:t xml:space="preserve">. Until then, transportation and storage </w:t>
      </w:r>
      <w:proofErr w:type="gramStart"/>
      <w:r w:rsidRPr="00FC5183">
        <w:rPr>
          <w:color w:val="000000" w:themeColor="text1"/>
          <w:sz w:val="22"/>
          <w:szCs w:val="20"/>
        </w:rPr>
        <w:t>is</w:t>
      </w:r>
      <w:proofErr w:type="gramEnd"/>
      <w:r w:rsidRPr="00FC5183">
        <w:rPr>
          <w:color w:val="000000" w:themeColor="text1"/>
          <w:sz w:val="22"/>
          <w:szCs w:val="20"/>
        </w:rPr>
        <w:t xml:space="preserve"> a net gainer, peaking at 1,307 jobs at </w:t>
      </w:r>
      <m:oMath>
        <m:sSub>
          <m:sSubPr>
            <m:ctrlPr>
              <w:rPr>
                <w:rFonts w:ascii="Cambria Math" w:hAnsi="Cambria Math"/>
                <w:i/>
                <w:color w:val="000000" w:themeColor="text1"/>
                <w:sz w:val="22"/>
                <w:szCs w:val="20"/>
              </w:rPr>
            </m:ctrlPr>
          </m:sSubPr>
          <m:e>
            <m:r>
              <w:rPr>
                <w:rFonts w:ascii="Cambria Math" w:hAnsi="Cambria Math"/>
                <w:color w:val="000000" w:themeColor="text1"/>
                <w:sz w:val="22"/>
                <w:szCs w:val="20"/>
              </w:rPr>
              <m:t>t</m:t>
            </m:r>
          </m:e>
          <m:sub>
            <m:r>
              <w:rPr>
                <w:rFonts w:ascii="Cambria Math" w:hAnsi="Cambria Math"/>
                <w:color w:val="000000" w:themeColor="text1"/>
                <w:sz w:val="22"/>
                <w:szCs w:val="20"/>
              </w:rPr>
              <m:t>15</m:t>
            </m:r>
          </m:sub>
        </m:sSub>
      </m:oMath>
      <w:r w:rsidRPr="00FC5183">
        <w:rPr>
          <w:color w:val="000000" w:themeColor="text1"/>
          <w:sz w:val="22"/>
          <w:szCs w:val="20"/>
        </w:rPr>
        <w:t xml:space="preserve">. </w:t>
      </w:r>
      <w:r w:rsidR="00877A9A" w:rsidRPr="00FC5183">
        <w:rPr>
          <w:color w:val="000000" w:themeColor="text1"/>
          <w:sz w:val="22"/>
          <w:szCs w:val="20"/>
        </w:rPr>
        <w:t xml:space="preserve">By </w:t>
      </w:r>
      <w:r w:rsidR="004D7EAC" w:rsidRPr="00FC5183">
        <w:rPr>
          <w:color w:val="000000" w:themeColor="text1"/>
          <w:sz w:val="22"/>
          <w:szCs w:val="20"/>
        </w:rPr>
        <w:t xml:space="preserve"> </w:t>
      </w:r>
      <m:oMath>
        <m:sSub>
          <m:sSubPr>
            <m:ctrlPr>
              <w:rPr>
                <w:rFonts w:ascii="Cambria Math" w:hAnsi="Cambria Math"/>
                <w:i/>
                <w:color w:val="000000" w:themeColor="text1"/>
                <w:sz w:val="22"/>
                <w:szCs w:val="20"/>
              </w:rPr>
            </m:ctrlPr>
          </m:sSubPr>
          <m:e>
            <m:r>
              <w:rPr>
                <w:rFonts w:ascii="Cambria Math" w:hAnsi="Cambria Math"/>
                <w:color w:val="000000" w:themeColor="text1"/>
                <w:sz w:val="22"/>
                <w:szCs w:val="20"/>
              </w:rPr>
              <m:t>t</m:t>
            </m:r>
          </m:e>
          <m:sub>
            <m:r>
              <w:rPr>
                <w:rFonts w:ascii="Cambria Math" w:hAnsi="Cambria Math"/>
                <w:color w:val="000000" w:themeColor="text1"/>
                <w:sz w:val="22"/>
                <w:szCs w:val="20"/>
              </w:rPr>
              <m:t>33</m:t>
            </m:r>
          </m:sub>
        </m:sSub>
      </m:oMath>
      <w:r w:rsidR="00877A9A" w:rsidRPr="00FC5183">
        <w:rPr>
          <w:color w:val="000000" w:themeColor="text1"/>
          <w:sz w:val="22"/>
          <w:szCs w:val="20"/>
        </w:rPr>
        <w:t>, employment in the sector is 3,168 jobs below the baseline. These estimates capture employment changes associated with final demand</w:t>
      </w:r>
      <w:r w:rsidRPr="00FC5183">
        <w:rPr>
          <w:color w:val="000000" w:themeColor="text1"/>
          <w:sz w:val="22"/>
          <w:szCs w:val="20"/>
        </w:rPr>
        <w:t xml:space="preserve">. The estimates do not show how this adjustment would occur within the sector. </w:t>
      </w:r>
    </w:p>
    <w:p w14:paraId="3C677382" w14:textId="79FDF3CF" w:rsidR="009C3F0E" w:rsidRPr="00A22B74" w:rsidRDefault="005A6795" w:rsidP="003407F2">
      <w:pPr>
        <w:spacing w:line="276" w:lineRule="auto"/>
        <w:ind w:firstLine="360"/>
        <w:jc w:val="center"/>
        <w:rPr>
          <w:sz w:val="20"/>
          <w:szCs w:val="18"/>
        </w:rPr>
      </w:pPr>
      <w:r w:rsidRPr="00A22B74">
        <w:rPr>
          <w:sz w:val="20"/>
          <w:szCs w:val="18"/>
        </w:rPr>
        <w:t>Figure 2. Net employment by sector</w:t>
      </w:r>
      <w:r w:rsidR="00A22B74" w:rsidRPr="00A22B74">
        <w:rPr>
          <w:sz w:val="20"/>
          <w:szCs w:val="18"/>
        </w:rPr>
        <w:t xml:space="preserve"> across analysis period</w:t>
      </w:r>
    </w:p>
    <w:p w14:paraId="118F548A" w14:textId="6B71B89D" w:rsidR="009C3F0E" w:rsidRPr="00745CA6" w:rsidRDefault="00ED4C6C" w:rsidP="00A22B74">
      <w:pPr>
        <w:spacing w:line="276" w:lineRule="auto"/>
        <w:ind w:firstLine="360"/>
        <w:jc w:val="center"/>
        <w:rPr>
          <w:sz w:val="22"/>
          <w:szCs w:val="20"/>
        </w:rPr>
      </w:pPr>
      <w:r>
        <w:rPr>
          <w:noProof/>
          <w:sz w:val="22"/>
          <w:szCs w:val="20"/>
        </w:rPr>
        <w:drawing>
          <wp:inline distT="0" distB="0" distL="0" distR="0" wp14:anchorId="04C4488A" wp14:editId="57D09DD8">
            <wp:extent cx="5014759" cy="2871702"/>
            <wp:effectExtent l="0" t="0" r="0" b="5080"/>
            <wp:docPr id="8219931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93188" name="Picture 821993188"/>
                    <pic:cNvPicPr/>
                  </pic:nvPicPr>
                  <pic:blipFill>
                    <a:blip r:embed="rId10"/>
                    <a:stretch>
                      <a:fillRect/>
                    </a:stretch>
                  </pic:blipFill>
                  <pic:spPr>
                    <a:xfrm>
                      <a:off x="0" y="0"/>
                      <a:ext cx="5127689" cy="2936371"/>
                    </a:xfrm>
                    <a:prstGeom prst="rect">
                      <a:avLst/>
                    </a:prstGeom>
                  </pic:spPr>
                </pic:pic>
              </a:graphicData>
            </a:graphic>
          </wp:inline>
        </w:drawing>
      </w:r>
    </w:p>
    <w:p w14:paraId="22734C3F" w14:textId="4C95F971" w:rsidR="007D2514" w:rsidRDefault="00331C02" w:rsidP="003A672E">
      <w:pPr>
        <w:pStyle w:val="Heading1"/>
        <w:numPr>
          <w:ilvl w:val="0"/>
          <w:numId w:val="10"/>
        </w:numPr>
        <w:spacing w:line="276" w:lineRule="auto"/>
        <w:jc w:val="both"/>
        <w:rPr>
          <w:rFonts w:ascii="Times New Roman" w:hAnsi="Times New Roman" w:cs="Times New Roman"/>
        </w:rPr>
      </w:pPr>
      <w:r w:rsidRPr="00C01ED0">
        <w:rPr>
          <w:rFonts w:ascii="Times New Roman" w:hAnsi="Times New Roman" w:cs="Times New Roman"/>
        </w:rPr>
        <w:t>Discussion</w:t>
      </w:r>
    </w:p>
    <w:p w14:paraId="18F6C5EA" w14:textId="2D78D433" w:rsidR="00917FAA" w:rsidRDefault="0072191F" w:rsidP="00C73CE0">
      <w:pPr>
        <w:spacing w:line="276" w:lineRule="auto"/>
        <w:ind w:firstLine="360"/>
        <w:jc w:val="both"/>
        <w:rPr>
          <w:sz w:val="22"/>
          <w:szCs w:val="20"/>
        </w:rPr>
      </w:pPr>
      <w:r w:rsidRPr="0072191F">
        <w:rPr>
          <w:sz w:val="22"/>
          <w:szCs w:val="20"/>
        </w:rPr>
        <w:t>Using Morocco as a case study, the analysis shows that a low-carbon pathway can shift modeled labor demand unevenly over time and across investment lines.</w:t>
      </w:r>
      <w:r w:rsidR="00992524">
        <w:rPr>
          <w:sz w:val="22"/>
          <w:szCs w:val="20"/>
        </w:rPr>
        <w:t xml:space="preserve"> </w:t>
      </w:r>
      <w:r w:rsidR="00992524" w:rsidRPr="00992524">
        <w:rPr>
          <w:sz w:val="22"/>
          <w:szCs w:val="20"/>
        </w:rPr>
        <w:t xml:space="preserve">The estimates point to a modest aggregate change in labor demand, but the aggregate figure alone is not enough to assess the adjustment implied by the pathway. The timing of demand and its distribution across investment lines are also relevant. Modeled labor demand increases gradually over the transition, rather than peaking sharply over a short period. This may avoid concentrating changes in labor demand within a narrow window, but it also means that the increase emerges later in the transition. Evidence from other settings indicates that workers do not necessarily move quickly from contracting to expanding activities, particularly when related occupations decline together (Bücker et al., 2025; Donovan and Schoellman, 2023). </w:t>
      </w:r>
    </w:p>
    <w:p w14:paraId="28DB2051" w14:textId="56D3504C" w:rsidR="00992524" w:rsidRPr="00992524" w:rsidRDefault="00992524" w:rsidP="00992524">
      <w:pPr>
        <w:spacing w:line="276" w:lineRule="auto"/>
        <w:ind w:firstLine="360"/>
        <w:jc w:val="both"/>
        <w:rPr>
          <w:sz w:val="22"/>
          <w:szCs w:val="20"/>
        </w:rPr>
      </w:pPr>
      <w:r w:rsidRPr="00992524">
        <w:rPr>
          <w:sz w:val="22"/>
          <w:szCs w:val="20"/>
        </w:rPr>
        <w:t xml:space="preserve">The variation </w:t>
      </w:r>
      <w:r w:rsidR="002C2D7C">
        <w:rPr>
          <w:sz w:val="22"/>
          <w:szCs w:val="20"/>
        </w:rPr>
        <w:t xml:space="preserve">in employment response </w:t>
      </w:r>
      <w:r w:rsidRPr="00992524">
        <w:rPr>
          <w:sz w:val="22"/>
          <w:szCs w:val="20"/>
        </w:rPr>
        <w:t xml:space="preserve">across </w:t>
      </w:r>
      <w:r w:rsidR="00B1295A">
        <w:rPr>
          <w:sz w:val="22"/>
          <w:szCs w:val="20"/>
        </w:rPr>
        <w:t xml:space="preserve">sectors where </w:t>
      </w:r>
      <w:r w:rsidR="002C2D7C">
        <w:rPr>
          <w:sz w:val="22"/>
          <w:szCs w:val="20"/>
        </w:rPr>
        <w:t xml:space="preserve">climate </w:t>
      </w:r>
      <w:r w:rsidRPr="00992524">
        <w:rPr>
          <w:sz w:val="22"/>
          <w:szCs w:val="20"/>
        </w:rPr>
        <w:t>investment</w:t>
      </w:r>
      <w:r w:rsidR="00B1295A">
        <w:rPr>
          <w:sz w:val="22"/>
          <w:szCs w:val="20"/>
        </w:rPr>
        <w:t>s</w:t>
      </w:r>
      <w:r w:rsidRPr="00992524">
        <w:rPr>
          <w:sz w:val="22"/>
          <w:szCs w:val="20"/>
        </w:rPr>
        <w:t xml:space="preserve"> </w:t>
      </w:r>
      <w:r w:rsidR="00B1295A">
        <w:rPr>
          <w:sz w:val="22"/>
          <w:szCs w:val="20"/>
        </w:rPr>
        <w:t>are made</w:t>
      </w:r>
      <w:r w:rsidRPr="00992524">
        <w:rPr>
          <w:sz w:val="22"/>
          <w:szCs w:val="20"/>
        </w:rPr>
        <w:t xml:space="preserve"> also matters. Hanna et al. (2024) identify technological maturity, local content, the labor-capital split, and prevailing wages as possible sources of this variation. Montt et al. (2018) likewise find larger employment changes in construction than in manufacturing because construction is more labor-intensive. Project design, procurement, and local sourcing may therefore affect the amount and timing of modeled labor demand associated with a given level of spending. This does not mean that investments should be selected to </w:t>
      </w:r>
      <w:r w:rsidRPr="00992524">
        <w:rPr>
          <w:sz w:val="22"/>
          <w:szCs w:val="20"/>
        </w:rPr>
        <w:lastRenderedPageBreak/>
        <w:t>maximize jobs per unit of spending. Higher labor intensity may reflect lower productivity rather than a social gain (Hanna et al., 2024).</w:t>
      </w:r>
    </w:p>
    <w:p w14:paraId="1A68A7CA" w14:textId="4A2DA42F" w:rsidR="00992524" w:rsidRPr="00184CC5" w:rsidRDefault="00992524" w:rsidP="00992524">
      <w:pPr>
        <w:spacing w:line="276" w:lineRule="auto"/>
        <w:ind w:firstLine="360"/>
        <w:jc w:val="both"/>
        <w:rPr>
          <w:sz w:val="22"/>
          <w:szCs w:val="20"/>
        </w:rPr>
      </w:pPr>
      <w:r w:rsidRPr="00992524">
        <w:rPr>
          <w:sz w:val="22"/>
          <w:szCs w:val="20"/>
        </w:rPr>
        <w:t>The analysis models labor demand rather than realized employment. It does not observe whether workers can move into expanding activities, whether firms can fill the jobs implied by the pathway, or how employment changes would be distributed across workers and regions. Knudsen et al. (2025) note that net-positive employment estimates commonly assume relatively efficient movement from declining to growing sectors,</w:t>
      </w:r>
      <w:r w:rsidR="00CB2103">
        <w:rPr>
          <w:sz w:val="22"/>
          <w:szCs w:val="20"/>
        </w:rPr>
        <w:t xml:space="preserve"> which is not </w:t>
      </w:r>
      <w:r w:rsidR="00D059BB">
        <w:rPr>
          <w:sz w:val="22"/>
          <w:szCs w:val="20"/>
        </w:rPr>
        <w:t>as often</w:t>
      </w:r>
      <w:r w:rsidR="00CB2103">
        <w:rPr>
          <w:sz w:val="22"/>
          <w:szCs w:val="20"/>
        </w:rPr>
        <w:t xml:space="preserve"> observed</w:t>
      </w:r>
      <w:r w:rsidR="00D059BB">
        <w:rPr>
          <w:sz w:val="22"/>
          <w:szCs w:val="20"/>
        </w:rPr>
        <w:t>, particularly in developing settings.</w:t>
      </w:r>
      <w:r w:rsidR="00CB2103">
        <w:rPr>
          <w:sz w:val="22"/>
          <w:szCs w:val="20"/>
        </w:rPr>
        <w:t xml:space="preserve"> </w:t>
      </w:r>
      <w:r w:rsidR="00D059BB">
        <w:rPr>
          <w:sz w:val="22"/>
          <w:szCs w:val="20"/>
        </w:rPr>
        <w:t xml:space="preserve">The authors </w:t>
      </w:r>
      <w:r w:rsidRPr="00992524">
        <w:rPr>
          <w:sz w:val="22"/>
          <w:szCs w:val="20"/>
        </w:rPr>
        <w:t xml:space="preserve">identify </w:t>
      </w:r>
      <w:r w:rsidR="006F1FEE">
        <w:rPr>
          <w:sz w:val="22"/>
          <w:szCs w:val="20"/>
        </w:rPr>
        <w:t xml:space="preserve">the role of </w:t>
      </w:r>
      <w:r w:rsidRPr="00992524">
        <w:rPr>
          <w:sz w:val="22"/>
          <w:szCs w:val="20"/>
        </w:rPr>
        <w:t xml:space="preserve">training, active labor-market programs, and social protection as important for translating potential jobs into realized employment. The available evidence provides only partial information on these conditions in Morocco. Informal employment in Northern Africa </w:t>
      </w:r>
      <w:r w:rsidR="00EB1D2D">
        <w:rPr>
          <w:sz w:val="22"/>
          <w:szCs w:val="20"/>
        </w:rPr>
        <w:t>affects over 60% of workers</w:t>
      </w:r>
      <w:r w:rsidRPr="00992524">
        <w:rPr>
          <w:sz w:val="22"/>
          <w:szCs w:val="20"/>
        </w:rPr>
        <w:t xml:space="preserve">, </w:t>
      </w:r>
      <w:proofErr w:type="gramStart"/>
      <w:r w:rsidR="00EB1D2D">
        <w:rPr>
          <w:sz w:val="22"/>
          <w:szCs w:val="20"/>
        </w:rPr>
        <w:t>beside</w:t>
      </w:r>
      <w:proofErr w:type="gramEnd"/>
      <w:r w:rsidRPr="00992524">
        <w:rPr>
          <w:sz w:val="22"/>
          <w:szCs w:val="20"/>
        </w:rPr>
        <w:t xml:space="preserve"> </w:t>
      </w:r>
      <w:r w:rsidR="00EB1D2D">
        <w:rPr>
          <w:sz w:val="22"/>
          <w:szCs w:val="20"/>
        </w:rPr>
        <w:t xml:space="preserve">a </w:t>
      </w:r>
      <w:r w:rsidRPr="00992524">
        <w:rPr>
          <w:sz w:val="22"/>
          <w:szCs w:val="20"/>
        </w:rPr>
        <w:t xml:space="preserve">labor-force participation </w:t>
      </w:r>
      <w:r w:rsidR="00EB1D2D">
        <w:rPr>
          <w:sz w:val="22"/>
          <w:szCs w:val="20"/>
        </w:rPr>
        <w:t>of</w:t>
      </w:r>
      <w:r w:rsidRPr="00992524">
        <w:rPr>
          <w:sz w:val="22"/>
          <w:szCs w:val="20"/>
        </w:rPr>
        <w:t xml:space="preserve"> 43</w:t>
      </w:r>
      <w:r w:rsidR="00EB1D2D">
        <w:rPr>
          <w:sz w:val="22"/>
          <w:szCs w:val="20"/>
        </w:rPr>
        <w:t>%</w:t>
      </w:r>
      <w:r w:rsidRPr="00992524">
        <w:rPr>
          <w:sz w:val="22"/>
          <w:szCs w:val="20"/>
        </w:rPr>
        <w:t xml:space="preserve"> (ILO, 2026). In Morocco, clean energy firms report technical-skills shortages as an obstacle to decarbonization-driven job growth, and women remain underrepresented in construction and energy, where modeled labor demand is concentrated (World Bank, 2025). These indicators do not identify the share of modeled demand that would become realized employment.</w:t>
      </w:r>
      <w:r w:rsidR="00001460">
        <w:rPr>
          <w:sz w:val="22"/>
          <w:szCs w:val="20"/>
        </w:rPr>
        <w:t xml:space="preserve"> </w:t>
      </w:r>
      <w:r w:rsidRPr="00992524">
        <w:rPr>
          <w:sz w:val="22"/>
          <w:szCs w:val="20"/>
        </w:rPr>
        <w:t xml:space="preserve">The results therefore identify the timing of modeled labor demand and the investment lines associated with larger demand effects, rather than the pathway’s effects on realized employment, labor-force exit, earnings, or welfare. If employment losses occur before labor demand expands, income support may need to reach workers who are not recorded as unemployed. Measures intended to reduce work disruption or help workers enter expanding activities address a different problem. </w:t>
      </w:r>
    </w:p>
    <w:p w14:paraId="63C830FE" w14:textId="2BDF7245" w:rsidR="00AA6D9C" w:rsidRPr="00AA6D9C" w:rsidRDefault="00000000" w:rsidP="00AA6D9C">
      <w:pPr>
        <w:pStyle w:val="Heading1"/>
        <w:numPr>
          <w:ilvl w:val="0"/>
          <w:numId w:val="10"/>
        </w:numPr>
        <w:spacing w:line="276" w:lineRule="auto"/>
        <w:jc w:val="both"/>
        <w:rPr>
          <w:rFonts w:ascii="Times New Roman" w:hAnsi="Times New Roman" w:cs="Times New Roman"/>
        </w:rPr>
      </w:pPr>
      <w:r w:rsidRPr="00C01ED0">
        <w:rPr>
          <w:rFonts w:ascii="Times New Roman" w:hAnsi="Times New Roman" w:cs="Times New Roman"/>
        </w:rPr>
        <w:t>Conclusion</w:t>
      </w:r>
    </w:p>
    <w:p w14:paraId="19D3B1F6" w14:textId="29CDF250" w:rsidR="009F7314" w:rsidRDefault="009F7314" w:rsidP="00512A04">
      <w:pPr>
        <w:spacing w:line="276" w:lineRule="auto"/>
        <w:ind w:firstLine="720"/>
        <w:jc w:val="both"/>
        <w:rPr>
          <w:rFonts w:cs="Times New Roman"/>
          <w:sz w:val="22"/>
        </w:rPr>
      </w:pPr>
      <w:r w:rsidRPr="009F7314">
        <w:rPr>
          <w:rFonts w:cs="Times New Roman"/>
          <w:sz w:val="22"/>
        </w:rPr>
        <w:t>This paper estimates domestic labor demand associated with climate investment and related co-benefits along a net-zero pathway for Morocco. It links cost-benefit outputs from the greenhouse gas emissions model SISEPUEDE</w:t>
      </w:r>
      <w:r w:rsidR="009B27FF">
        <w:rPr>
          <w:rFonts w:cs="Times New Roman"/>
          <w:sz w:val="22"/>
        </w:rPr>
        <w:t xml:space="preserve"> (</w:t>
      </w:r>
      <w:r w:rsidR="009B27FF" w:rsidRPr="00607330">
        <w:rPr>
          <w:sz w:val="22"/>
          <w:szCs w:val="20"/>
        </w:rPr>
        <w:t>Kalra</w:t>
      </w:r>
      <w:r w:rsidR="009B27FF">
        <w:rPr>
          <w:sz w:val="22"/>
          <w:szCs w:val="20"/>
        </w:rPr>
        <w:t xml:space="preserve"> et al., 2023)</w:t>
      </w:r>
      <w:r w:rsidRPr="009F7314">
        <w:rPr>
          <w:rFonts w:cs="Times New Roman"/>
          <w:sz w:val="22"/>
        </w:rPr>
        <w:t xml:space="preserve"> to MINDSET, a multi-regional input-output framework (</w:t>
      </w:r>
      <w:proofErr w:type="spellStart"/>
      <w:r w:rsidRPr="009F7314">
        <w:rPr>
          <w:rFonts w:cs="Times New Roman"/>
          <w:sz w:val="22"/>
        </w:rPr>
        <w:t>Dorbrand</w:t>
      </w:r>
      <w:proofErr w:type="spellEnd"/>
      <w:r w:rsidRPr="009F7314">
        <w:rPr>
          <w:rFonts w:cs="Times New Roman"/>
          <w:sz w:val="22"/>
        </w:rPr>
        <w:t xml:space="preserve"> et al., 2025). We compare baseline and low-emissions scenarios over 33 periods and estimate employment associated with the gradual implementation of 18 climate policies, or transformations, in Morocco’s decarbonization portfolio.</w:t>
      </w:r>
    </w:p>
    <w:p w14:paraId="730EF512" w14:textId="1781DF45" w:rsidR="00F5359A" w:rsidRPr="00F5359A" w:rsidRDefault="005946BB" w:rsidP="00F5359A">
      <w:pPr>
        <w:spacing w:line="276" w:lineRule="auto"/>
        <w:ind w:firstLine="720"/>
        <w:jc w:val="both"/>
        <w:rPr>
          <w:rFonts w:cs="Times New Roman"/>
          <w:sz w:val="22"/>
        </w:rPr>
      </w:pPr>
      <w:r w:rsidRPr="005946BB">
        <w:rPr>
          <w:rFonts w:cs="Times New Roman"/>
          <w:sz w:val="22"/>
        </w:rPr>
        <w:t>Relative to the baseline, estimated net labor demand is negative over the first eight periods and positive thereafter. It reaches a peak of 37,481 jobs above the baseline before ending at 37,166 jobs in the final period</w:t>
      </w:r>
      <w:r w:rsidR="00F5359A" w:rsidRPr="00F5359A">
        <w:rPr>
          <w:rFonts w:cs="Times New Roman"/>
          <w:sz w:val="22"/>
        </w:rPr>
        <w:t xml:space="preserve">. The annual effects </w:t>
      </w:r>
      <w:proofErr w:type="gramStart"/>
      <w:r w:rsidR="00F5359A" w:rsidRPr="00F5359A">
        <w:rPr>
          <w:rFonts w:cs="Times New Roman"/>
          <w:sz w:val="22"/>
        </w:rPr>
        <w:t>sum</w:t>
      </w:r>
      <w:proofErr w:type="gramEnd"/>
      <w:r w:rsidR="00F5359A" w:rsidRPr="00F5359A">
        <w:rPr>
          <w:rFonts w:cs="Times New Roman"/>
          <w:sz w:val="22"/>
        </w:rPr>
        <w:t xml:space="preserve"> to 601,737 job-years over the 33-year period. This timing is consistent with the pathway’s expenditure profile, which front-loads capital investment and has later growth in </w:t>
      </w:r>
      <w:r w:rsidR="00996191">
        <w:rPr>
          <w:rFonts w:cs="Times New Roman"/>
          <w:sz w:val="22"/>
        </w:rPr>
        <w:t>o</w:t>
      </w:r>
      <w:r w:rsidR="00996191" w:rsidRPr="00996191">
        <w:rPr>
          <w:rFonts w:cs="Times New Roman"/>
          <w:sz w:val="22"/>
        </w:rPr>
        <w:t xml:space="preserve">peration and </w:t>
      </w:r>
      <w:r w:rsidR="00996191">
        <w:rPr>
          <w:rFonts w:cs="Times New Roman"/>
          <w:sz w:val="22"/>
        </w:rPr>
        <w:t>m</w:t>
      </w:r>
      <w:r w:rsidR="00996191" w:rsidRPr="00996191">
        <w:rPr>
          <w:rFonts w:cs="Times New Roman"/>
          <w:sz w:val="22"/>
        </w:rPr>
        <w:t>aintenance</w:t>
      </w:r>
      <w:r w:rsidR="00996191">
        <w:rPr>
          <w:rFonts w:cs="Times New Roman"/>
          <w:sz w:val="22"/>
        </w:rPr>
        <w:t xml:space="preserve"> spending</w:t>
      </w:r>
      <w:r w:rsidR="00996191" w:rsidRPr="00996191">
        <w:rPr>
          <w:rFonts w:cs="Times New Roman"/>
          <w:sz w:val="22"/>
        </w:rPr>
        <w:t xml:space="preserve"> </w:t>
      </w:r>
      <w:r w:rsidR="00F5359A" w:rsidRPr="00F5359A">
        <w:rPr>
          <w:rFonts w:cs="Times New Roman"/>
          <w:sz w:val="22"/>
        </w:rPr>
        <w:t>and savings associated with the transformations (Bücker et al., 2025). The estimates identify employment associated with changes in final demand over time.</w:t>
      </w:r>
    </w:p>
    <w:p w14:paraId="44A34A19" w14:textId="4BDF768F" w:rsidR="00496A67" w:rsidRPr="00067C62" w:rsidRDefault="00F5359A" w:rsidP="00F5359A">
      <w:pPr>
        <w:spacing w:line="276" w:lineRule="auto"/>
        <w:ind w:firstLine="720"/>
        <w:jc w:val="both"/>
        <w:rPr>
          <w:rFonts w:cs="Times New Roman"/>
          <w:sz w:val="22"/>
        </w:rPr>
      </w:pPr>
      <w:r w:rsidRPr="00F5359A">
        <w:rPr>
          <w:rFonts w:cs="Times New Roman"/>
          <w:sz w:val="22"/>
        </w:rPr>
        <w:t>Sectoral results report where employment effects are recorded, rather than which transformations generate the underlying demand. Construction accounts for 206,078 job-years, about one-third of the total, largely because of improved building insulation work. Wholesale and retail trade records 103,570 job-years through distribution margins on activity in other sectors. Direct effects account for 355,744 job-years and indirect effects for 245,993. Indirect effects therefore account for 41</w:t>
      </w:r>
      <w:r w:rsidR="00C323BD">
        <w:rPr>
          <w:rFonts w:cs="Times New Roman"/>
          <w:sz w:val="22"/>
        </w:rPr>
        <w:t>%</w:t>
      </w:r>
      <w:r w:rsidRPr="00F5359A">
        <w:rPr>
          <w:rFonts w:cs="Times New Roman"/>
          <w:sz w:val="22"/>
        </w:rPr>
        <w:t xml:space="preserve"> of estimated employment through domestic supply chains. Transportation and storage </w:t>
      </w:r>
      <w:proofErr w:type="gramStart"/>
      <w:r w:rsidRPr="00F5359A">
        <w:rPr>
          <w:rFonts w:cs="Times New Roman"/>
          <w:sz w:val="22"/>
        </w:rPr>
        <w:t>is</w:t>
      </w:r>
      <w:proofErr w:type="gramEnd"/>
      <w:r w:rsidRPr="00F5359A">
        <w:rPr>
          <w:rFonts w:cs="Times New Roman"/>
          <w:sz w:val="22"/>
        </w:rPr>
        <w:t xml:space="preserve"> the only sector with a negative cumulative effect, at 3,203 job-years. It receives 65,005 job-years associated with investment but loses 68,208 job-years from avoided expenditure, mainly f</w:t>
      </w:r>
      <w:r w:rsidR="00A41913">
        <w:rPr>
          <w:rFonts w:cs="Times New Roman"/>
          <w:sz w:val="22"/>
        </w:rPr>
        <w:t>ossil fuel</w:t>
      </w:r>
      <w:r w:rsidRPr="00F5359A">
        <w:rPr>
          <w:rFonts w:cs="Times New Roman"/>
          <w:sz w:val="22"/>
        </w:rPr>
        <w:t xml:space="preserve"> no longer purchased for light-duty vehicles</w:t>
      </w:r>
      <w:r w:rsidR="002232DE" w:rsidRPr="002232DE">
        <w:rPr>
          <w:rFonts w:cs="Times New Roman"/>
          <w:sz w:val="22"/>
        </w:rPr>
        <w:t>.</w:t>
      </w:r>
    </w:p>
    <w:p w14:paraId="5FC84447" w14:textId="77777777" w:rsidR="007D2514" w:rsidRDefault="00000000" w:rsidP="00EA7942">
      <w:pPr>
        <w:pStyle w:val="Heading1"/>
        <w:spacing w:line="276" w:lineRule="auto"/>
        <w:jc w:val="both"/>
        <w:rPr>
          <w:rFonts w:ascii="Times New Roman" w:hAnsi="Times New Roman" w:cs="Times New Roman"/>
        </w:rPr>
      </w:pPr>
      <w:r w:rsidRPr="00C01ED0">
        <w:rPr>
          <w:rFonts w:ascii="Times New Roman" w:hAnsi="Times New Roman" w:cs="Times New Roman"/>
        </w:rPr>
        <w:lastRenderedPageBreak/>
        <w:t>References</w:t>
      </w:r>
    </w:p>
    <w:p w14:paraId="6F823C03" w14:textId="77777777" w:rsidR="00185C50" w:rsidRDefault="00185C50" w:rsidP="00185C50">
      <w:pPr>
        <w:spacing w:line="240" w:lineRule="auto"/>
        <w:jc w:val="both"/>
      </w:pPr>
    </w:p>
    <w:p w14:paraId="4472611F" w14:textId="1763ECDB" w:rsidR="00185C50" w:rsidRDefault="00185C50" w:rsidP="00512A04">
      <w:pPr>
        <w:spacing w:line="240" w:lineRule="auto"/>
        <w:ind w:firstLine="360"/>
        <w:jc w:val="both"/>
        <w:rPr>
          <w:sz w:val="22"/>
          <w:szCs w:val="20"/>
        </w:rPr>
      </w:pPr>
      <w:r w:rsidRPr="00185C50">
        <w:rPr>
          <w:sz w:val="22"/>
          <w:szCs w:val="20"/>
        </w:rPr>
        <w:t xml:space="preserve">Adeli, K., </w:t>
      </w:r>
      <w:proofErr w:type="spellStart"/>
      <w:r w:rsidRPr="00185C50">
        <w:rPr>
          <w:sz w:val="22"/>
          <w:szCs w:val="20"/>
        </w:rPr>
        <w:t>Nachtane</w:t>
      </w:r>
      <w:proofErr w:type="spellEnd"/>
      <w:r w:rsidRPr="00185C50">
        <w:rPr>
          <w:sz w:val="22"/>
          <w:szCs w:val="20"/>
        </w:rPr>
        <w:t xml:space="preserve">, M., Faik, A., </w:t>
      </w:r>
      <w:proofErr w:type="spellStart"/>
      <w:r w:rsidRPr="00185C50">
        <w:rPr>
          <w:sz w:val="22"/>
          <w:szCs w:val="20"/>
        </w:rPr>
        <w:t>Saifaoui</w:t>
      </w:r>
      <w:proofErr w:type="spellEnd"/>
      <w:r w:rsidRPr="00185C50">
        <w:rPr>
          <w:sz w:val="22"/>
          <w:szCs w:val="20"/>
        </w:rPr>
        <w:t xml:space="preserve">, D., &amp; </w:t>
      </w:r>
      <w:proofErr w:type="spellStart"/>
      <w:r w:rsidRPr="00185C50">
        <w:rPr>
          <w:sz w:val="22"/>
          <w:szCs w:val="20"/>
        </w:rPr>
        <w:t>Boulezhar</w:t>
      </w:r>
      <w:proofErr w:type="spellEnd"/>
      <w:r w:rsidRPr="00185C50">
        <w:rPr>
          <w:sz w:val="22"/>
          <w:szCs w:val="20"/>
        </w:rPr>
        <w:t xml:space="preserve">, A. (2023). How green hydrogen and ammonia are revolutionizing the future of energy production: a comprehensive review of the latest developments and </w:t>
      </w:r>
      <w:proofErr w:type="gramStart"/>
      <w:r w:rsidRPr="00185C50">
        <w:rPr>
          <w:sz w:val="22"/>
          <w:szCs w:val="20"/>
        </w:rPr>
        <w:t>future prospects</w:t>
      </w:r>
      <w:proofErr w:type="gramEnd"/>
      <w:r w:rsidRPr="00185C50">
        <w:rPr>
          <w:sz w:val="22"/>
          <w:szCs w:val="20"/>
        </w:rPr>
        <w:t>. </w:t>
      </w:r>
      <w:r w:rsidRPr="00185C50">
        <w:rPr>
          <w:i/>
          <w:iCs/>
          <w:sz w:val="22"/>
          <w:szCs w:val="20"/>
        </w:rPr>
        <w:t>Applied Sciences</w:t>
      </w:r>
      <w:r w:rsidRPr="00185C50">
        <w:rPr>
          <w:sz w:val="22"/>
          <w:szCs w:val="20"/>
        </w:rPr>
        <w:t>, </w:t>
      </w:r>
      <w:r w:rsidRPr="00185C50">
        <w:rPr>
          <w:i/>
          <w:iCs/>
          <w:sz w:val="22"/>
          <w:szCs w:val="20"/>
        </w:rPr>
        <w:t>13</w:t>
      </w:r>
      <w:r w:rsidRPr="00185C50">
        <w:rPr>
          <w:sz w:val="22"/>
          <w:szCs w:val="20"/>
        </w:rPr>
        <w:t>(15), 8711.</w:t>
      </w:r>
    </w:p>
    <w:p w14:paraId="75D36EA5" w14:textId="51492B38" w:rsidR="00DD1317" w:rsidRDefault="00DD1317" w:rsidP="00512A04">
      <w:pPr>
        <w:spacing w:line="240" w:lineRule="auto"/>
        <w:ind w:firstLine="360"/>
        <w:jc w:val="both"/>
        <w:rPr>
          <w:sz w:val="22"/>
          <w:szCs w:val="20"/>
        </w:rPr>
      </w:pPr>
      <w:proofErr w:type="spellStart"/>
      <w:r w:rsidRPr="00DD1317">
        <w:rPr>
          <w:sz w:val="22"/>
          <w:szCs w:val="20"/>
        </w:rPr>
        <w:t>Bouaboula</w:t>
      </w:r>
      <w:proofErr w:type="spellEnd"/>
      <w:r w:rsidRPr="00DD1317">
        <w:rPr>
          <w:sz w:val="22"/>
          <w:szCs w:val="20"/>
        </w:rPr>
        <w:t xml:space="preserve">, H., </w:t>
      </w:r>
      <w:proofErr w:type="spellStart"/>
      <w:r w:rsidRPr="00DD1317">
        <w:rPr>
          <w:sz w:val="22"/>
          <w:szCs w:val="20"/>
        </w:rPr>
        <w:t>Ouikhalfan</w:t>
      </w:r>
      <w:proofErr w:type="spellEnd"/>
      <w:r w:rsidRPr="00DD1317">
        <w:rPr>
          <w:sz w:val="22"/>
          <w:szCs w:val="20"/>
        </w:rPr>
        <w:t xml:space="preserve">, M., Saadoune, I., Chaouki, J., </w:t>
      </w:r>
      <w:proofErr w:type="spellStart"/>
      <w:r w:rsidRPr="00DD1317">
        <w:rPr>
          <w:sz w:val="22"/>
          <w:szCs w:val="20"/>
        </w:rPr>
        <w:t>Zaabout</w:t>
      </w:r>
      <w:proofErr w:type="spellEnd"/>
      <w:r w:rsidRPr="00DD1317">
        <w:rPr>
          <w:sz w:val="22"/>
          <w:szCs w:val="20"/>
        </w:rPr>
        <w:t xml:space="preserve">, A., &amp; </w:t>
      </w:r>
      <w:proofErr w:type="spellStart"/>
      <w:r w:rsidRPr="00DD1317">
        <w:rPr>
          <w:sz w:val="22"/>
          <w:szCs w:val="20"/>
        </w:rPr>
        <w:t>Belmabkhout</w:t>
      </w:r>
      <w:proofErr w:type="spellEnd"/>
      <w:r w:rsidRPr="00DD1317">
        <w:rPr>
          <w:sz w:val="22"/>
          <w:szCs w:val="20"/>
        </w:rPr>
        <w:t>, Y. (2023). Addressing sustainable energy intermittence for green ammonia production. </w:t>
      </w:r>
      <w:r w:rsidRPr="00DD1317">
        <w:rPr>
          <w:i/>
          <w:iCs/>
          <w:sz w:val="22"/>
          <w:szCs w:val="20"/>
        </w:rPr>
        <w:t>Energy Reports</w:t>
      </w:r>
      <w:r w:rsidRPr="00DD1317">
        <w:rPr>
          <w:sz w:val="22"/>
          <w:szCs w:val="20"/>
        </w:rPr>
        <w:t>, </w:t>
      </w:r>
      <w:r w:rsidRPr="00DD1317">
        <w:rPr>
          <w:i/>
          <w:iCs/>
          <w:sz w:val="22"/>
          <w:szCs w:val="20"/>
        </w:rPr>
        <w:t>9</w:t>
      </w:r>
      <w:r w:rsidRPr="00DD1317">
        <w:rPr>
          <w:sz w:val="22"/>
          <w:szCs w:val="20"/>
        </w:rPr>
        <w:t>, 4507-4517.</w:t>
      </w:r>
    </w:p>
    <w:p w14:paraId="259F6EC7" w14:textId="63BABF7D" w:rsidR="00A011FE" w:rsidRDefault="00A011FE" w:rsidP="00512A04">
      <w:pPr>
        <w:spacing w:line="240" w:lineRule="auto"/>
        <w:ind w:firstLine="360"/>
        <w:jc w:val="both"/>
        <w:rPr>
          <w:sz w:val="22"/>
          <w:szCs w:val="20"/>
        </w:rPr>
      </w:pPr>
      <w:r w:rsidRPr="00A011FE">
        <w:rPr>
          <w:sz w:val="22"/>
          <w:szCs w:val="20"/>
        </w:rPr>
        <w:t>Bücker, J., del Rio-Chanona, R. M., Pichler, A., Ives, M. C., &amp; Farmer, J. D. (2025). Employment dynamics in a rapid decarbonization of the US power sector. </w:t>
      </w:r>
      <w:r w:rsidRPr="00A011FE">
        <w:rPr>
          <w:i/>
          <w:iCs/>
          <w:sz w:val="22"/>
          <w:szCs w:val="20"/>
        </w:rPr>
        <w:t>Joule</w:t>
      </w:r>
      <w:r w:rsidRPr="00A011FE">
        <w:rPr>
          <w:sz w:val="22"/>
          <w:szCs w:val="20"/>
        </w:rPr>
        <w:t>, </w:t>
      </w:r>
      <w:r w:rsidRPr="00A011FE">
        <w:rPr>
          <w:i/>
          <w:iCs/>
          <w:sz w:val="22"/>
          <w:szCs w:val="20"/>
        </w:rPr>
        <w:t>9</w:t>
      </w:r>
      <w:r w:rsidRPr="00A011FE">
        <w:rPr>
          <w:sz w:val="22"/>
          <w:szCs w:val="20"/>
        </w:rPr>
        <w:t>(2).</w:t>
      </w:r>
    </w:p>
    <w:p w14:paraId="07190565" w14:textId="785FCAC7" w:rsidR="00544A61" w:rsidRDefault="00544A61" w:rsidP="00512A04">
      <w:pPr>
        <w:spacing w:line="240" w:lineRule="auto"/>
        <w:ind w:firstLine="360"/>
        <w:jc w:val="both"/>
        <w:rPr>
          <w:sz w:val="22"/>
          <w:szCs w:val="20"/>
        </w:rPr>
      </w:pPr>
      <w:r w:rsidRPr="00A42EEF">
        <w:rPr>
          <w:sz w:val="22"/>
          <w:szCs w:val="20"/>
        </w:rPr>
        <w:t>Dorband, Ira Irina; Pollitt, Hector; </w:t>
      </w:r>
      <w:proofErr w:type="spellStart"/>
      <w:r w:rsidRPr="00A42EEF">
        <w:rPr>
          <w:sz w:val="22"/>
          <w:szCs w:val="20"/>
        </w:rPr>
        <w:t>Hardadi</w:t>
      </w:r>
      <w:proofErr w:type="spellEnd"/>
      <w:r w:rsidRPr="00A42EEF">
        <w:rPr>
          <w:sz w:val="22"/>
          <w:szCs w:val="20"/>
        </w:rPr>
        <w:t xml:space="preserve">, </w:t>
      </w:r>
      <w:proofErr w:type="spellStart"/>
      <w:r w:rsidRPr="00A42EEF">
        <w:rPr>
          <w:sz w:val="22"/>
          <w:szCs w:val="20"/>
        </w:rPr>
        <w:t>Gilang</w:t>
      </w:r>
      <w:proofErr w:type="spellEnd"/>
      <w:r w:rsidRPr="00A42EEF">
        <w:rPr>
          <w:sz w:val="22"/>
          <w:szCs w:val="20"/>
        </w:rPr>
        <w:t xml:space="preserve">; Lehr, Ulrike; Lin, </w:t>
      </w:r>
      <w:proofErr w:type="spellStart"/>
      <w:r w:rsidRPr="00A42EEF">
        <w:rPr>
          <w:sz w:val="22"/>
          <w:szCs w:val="20"/>
        </w:rPr>
        <w:t>Xinru</w:t>
      </w:r>
      <w:proofErr w:type="spellEnd"/>
      <w:r w:rsidRPr="00A42EEF">
        <w:rPr>
          <w:sz w:val="22"/>
          <w:szCs w:val="20"/>
        </w:rPr>
        <w:t>; Capraro Brancher, Marco.</w:t>
      </w:r>
      <w:r w:rsidR="00655B56" w:rsidRPr="00A42EEF">
        <w:rPr>
          <w:sz w:val="22"/>
          <w:szCs w:val="20"/>
        </w:rPr>
        <w:t xml:space="preserve"> </w:t>
      </w:r>
      <w:r w:rsidRPr="00544A61">
        <w:rPr>
          <w:i/>
          <w:iCs/>
          <w:sz w:val="22"/>
          <w:szCs w:val="20"/>
        </w:rPr>
        <w:t>MINDSET 1.0: Methodology and Use (English). </w:t>
      </w:r>
      <w:r w:rsidRPr="00544A61">
        <w:rPr>
          <w:sz w:val="22"/>
          <w:szCs w:val="20"/>
        </w:rPr>
        <w:t>Washington, D.C.: World Bank Group. </w:t>
      </w:r>
      <w:hyperlink r:id="rId11" w:history="1">
        <w:r w:rsidR="00655B56" w:rsidRPr="00525745">
          <w:rPr>
            <w:rStyle w:val="Hyperlink"/>
            <w:sz w:val="22"/>
            <w:szCs w:val="20"/>
          </w:rPr>
          <w:t>http://documents.worldbank.org/curated/en/099040826221585742</w:t>
        </w:r>
      </w:hyperlink>
      <w:r w:rsidR="00655B56">
        <w:rPr>
          <w:sz w:val="22"/>
          <w:szCs w:val="20"/>
        </w:rPr>
        <w:t xml:space="preserve"> </w:t>
      </w:r>
    </w:p>
    <w:p w14:paraId="331257CD" w14:textId="77777777" w:rsidR="00C0285E" w:rsidRPr="00A42EEF" w:rsidRDefault="00C0285E" w:rsidP="00C0285E">
      <w:pPr>
        <w:spacing w:line="276" w:lineRule="auto"/>
        <w:ind w:firstLine="360"/>
        <w:jc w:val="both"/>
        <w:rPr>
          <w:sz w:val="22"/>
          <w:szCs w:val="20"/>
          <w:lang w:val="pt-BR"/>
        </w:rPr>
      </w:pPr>
      <w:r w:rsidRPr="000566A3">
        <w:rPr>
          <w:sz w:val="22"/>
          <w:szCs w:val="20"/>
        </w:rPr>
        <w:t>Ernst, C., &amp; Sarabia, M. (2015). </w:t>
      </w:r>
      <w:r w:rsidRPr="000566A3">
        <w:rPr>
          <w:i/>
          <w:iCs/>
          <w:sz w:val="22"/>
          <w:szCs w:val="20"/>
        </w:rPr>
        <w:t>The role of construction as an employment provider: a world-wide input-output analysis</w:t>
      </w:r>
      <w:r w:rsidRPr="000566A3">
        <w:rPr>
          <w:sz w:val="22"/>
          <w:szCs w:val="20"/>
        </w:rPr>
        <w:t xml:space="preserve">. </w:t>
      </w:r>
      <w:r w:rsidRPr="00A42EEF">
        <w:rPr>
          <w:sz w:val="22"/>
          <w:szCs w:val="20"/>
          <w:lang w:val="pt-BR"/>
        </w:rPr>
        <w:t>ILO.</w:t>
      </w:r>
    </w:p>
    <w:p w14:paraId="1C12CA4A" w14:textId="4AD16678" w:rsidR="00607330" w:rsidRDefault="00607330" w:rsidP="00C0285E">
      <w:pPr>
        <w:spacing w:line="276" w:lineRule="auto"/>
        <w:ind w:firstLine="360"/>
        <w:jc w:val="both"/>
        <w:rPr>
          <w:sz w:val="22"/>
          <w:szCs w:val="20"/>
        </w:rPr>
      </w:pPr>
      <w:r w:rsidRPr="00607330">
        <w:rPr>
          <w:sz w:val="22"/>
          <w:szCs w:val="20"/>
          <w:lang w:val="pt-BR"/>
        </w:rPr>
        <w:t xml:space="preserve">Kalra, N., Molina-Pérez, E., Syme, J., Esteves, F., Cortés, H., Rodríguez-Cervantes, M. T., ... </w:t>
      </w:r>
      <w:r w:rsidRPr="00607330">
        <w:rPr>
          <w:sz w:val="22"/>
          <w:szCs w:val="20"/>
        </w:rPr>
        <w:t>&amp; Vogt-Schilb, A. (2023). The benefits and costs of reaching net zero emissions in Latin America and the Caribbean.</w:t>
      </w:r>
    </w:p>
    <w:p w14:paraId="4B55BBCC" w14:textId="572AB29B" w:rsidR="00C0285E" w:rsidRDefault="00C0285E" w:rsidP="00C0285E">
      <w:pPr>
        <w:spacing w:line="276" w:lineRule="auto"/>
        <w:ind w:firstLine="360"/>
        <w:jc w:val="both"/>
        <w:rPr>
          <w:sz w:val="22"/>
          <w:szCs w:val="20"/>
        </w:rPr>
      </w:pPr>
      <w:r w:rsidRPr="00607330">
        <w:rPr>
          <w:sz w:val="22"/>
          <w:szCs w:val="20"/>
          <w:lang w:val="pt-BR"/>
        </w:rPr>
        <w:t xml:space="preserve">Kofoworola, O. F., &amp; Gheewala, S. (2008). </w:t>
      </w:r>
      <w:r w:rsidRPr="007911EF">
        <w:rPr>
          <w:sz w:val="22"/>
          <w:szCs w:val="20"/>
        </w:rPr>
        <w:t>An input–output analysis of Thailand's construction sector. </w:t>
      </w:r>
      <w:r w:rsidRPr="007911EF">
        <w:rPr>
          <w:i/>
          <w:iCs/>
          <w:sz w:val="22"/>
          <w:szCs w:val="20"/>
        </w:rPr>
        <w:t>Construction Management and Economics</w:t>
      </w:r>
      <w:r w:rsidRPr="007911EF">
        <w:rPr>
          <w:sz w:val="22"/>
          <w:szCs w:val="20"/>
        </w:rPr>
        <w:t>, </w:t>
      </w:r>
      <w:r w:rsidRPr="007911EF">
        <w:rPr>
          <w:i/>
          <w:iCs/>
          <w:sz w:val="22"/>
          <w:szCs w:val="20"/>
        </w:rPr>
        <w:t>26</w:t>
      </w:r>
      <w:r w:rsidRPr="007911EF">
        <w:rPr>
          <w:sz w:val="22"/>
          <w:szCs w:val="20"/>
        </w:rPr>
        <w:t>(11), 1227-1240.</w:t>
      </w:r>
    </w:p>
    <w:p w14:paraId="17DD47BA" w14:textId="09A732D6" w:rsidR="007F202F" w:rsidRPr="00544A61" w:rsidRDefault="007F202F" w:rsidP="00512A04">
      <w:pPr>
        <w:spacing w:line="240" w:lineRule="auto"/>
        <w:ind w:firstLine="360"/>
        <w:jc w:val="both"/>
        <w:rPr>
          <w:sz w:val="22"/>
          <w:szCs w:val="20"/>
        </w:rPr>
      </w:pPr>
      <w:r w:rsidRPr="007F202F">
        <w:rPr>
          <w:sz w:val="22"/>
          <w:szCs w:val="20"/>
        </w:rPr>
        <w:t xml:space="preserve">Lenzen, M., Geschke, A., West, J., Fry, J., Malik, A., Giljum, S., ... &amp; </w:t>
      </w:r>
      <w:proofErr w:type="spellStart"/>
      <w:r w:rsidRPr="007F202F">
        <w:rPr>
          <w:sz w:val="22"/>
          <w:szCs w:val="20"/>
        </w:rPr>
        <w:t>Schandl</w:t>
      </w:r>
      <w:proofErr w:type="spellEnd"/>
      <w:r w:rsidRPr="007F202F">
        <w:rPr>
          <w:sz w:val="22"/>
          <w:szCs w:val="20"/>
        </w:rPr>
        <w:t>, H. (2022). Implementing the material footprint to measure progress towards Sustainable Development Goals 8 and 12. </w:t>
      </w:r>
      <w:r w:rsidRPr="007F202F">
        <w:rPr>
          <w:i/>
          <w:iCs/>
          <w:sz w:val="22"/>
          <w:szCs w:val="20"/>
        </w:rPr>
        <w:t>Nature Sustainability</w:t>
      </w:r>
      <w:r w:rsidRPr="007F202F">
        <w:rPr>
          <w:sz w:val="22"/>
          <w:szCs w:val="20"/>
        </w:rPr>
        <w:t>, </w:t>
      </w:r>
      <w:r w:rsidRPr="007F202F">
        <w:rPr>
          <w:i/>
          <w:iCs/>
          <w:sz w:val="22"/>
          <w:szCs w:val="20"/>
        </w:rPr>
        <w:t>5</w:t>
      </w:r>
      <w:r w:rsidRPr="007F202F">
        <w:rPr>
          <w:sz w:val="22"/>
          <w:szCs w:val="20"/>
        </w:rPr>
        <w:t>(2), 157-166.</w:t>
      </w:r>
    </w:p>
    <w:p w14:paraId="3C6A5925" w14:textId="5B973FAB" w:rsidR="00544A61" w:rsidRDefault="00F347C0" w:rsidP="00512A04">
      <w:pPr>
        <w:spacing w:line="240" w:lineRule="auto"/>
        <w:ind w:firstLine="360"/>
        <w:jc w:val="both"/>
        <w:rPr>
          <w:sz w:val="22"/>
          <w:szCs w:val="20"/>
        </w:rPr>
      </w:pPr>
      <w:r w:rsidRPr="00F347C0">
        <w:rPr>
          <w:sz w:val="22"/>
          <w:szCs w:val="20"/>
        </w:rPr>
        <w:t xml:space="preserve">United Nations Statistics Division. (2008). </w:t>
      </w:r>
      <w:r w:rsidRPr="00F347C0">
        <w:rPr>
          <w:i/>
          <w:iCs/>
          <w:sz w:val="22"/>
          <w:szCs w:val="20"/>
        </w:rPr>
        <w:t>International Standard Industrial Classification of All Economic Activities: Revision 4</w:t>
      </w:r>
      <w:r w:rsidRPr="00F347C0">
        <w:rPr>
          <w:sz w:val="22"/>
          <w:szCs w:val="20"/>
        </w:rPr>
        <w:t xml:space="preserve"> (Statistical Papers Series M No. 4 Rev. 4). United Nations</w:t>
      </w:r>
      <w:r>
        <w:rPr>
          <w:sz w:val="22"/>
          <w:szCs w:val="20"/>
        </w:rPr>
        <w:t>.</w:t>
      </w:r>
    </w:p>
    <w:p w14:paraId="66FA830C" w14:textId="0F24BB62" w:rsidR="00ED4D73" w:rsidRPr="00185C50" w:rsidRDefault="00ED4D73" w:rsidP="00512A04">
      <w:pPr>
        <w:spacing w:line="240" w:lineRule="auto"/>
        <w:ind w:firstLine="360"/>
        <w:jc w:val="both"/>
        <w:rPr>
          <w:sz w:val="22"/>
          <w:szCs w:val="20"/>
        </w:rPr>
      </w:pPr>
      <w:r w:rsidRPr="00ED4D73">
        <w:rPr>
          <w:sz w:val="22"/>
          <w:szCs w:val="20"/>
        </w:rPr>
        <w:t xml:space="preserve">U.S. Geological Survey. 2026. </w:t>
      </w:r>
      <w:r w:rsidRPr="00ED4D73">
        <w:rPr>
          <w:i/>
          <w:iCs/>
          <w:sz w:val="22"/>
          <w:szCs w:val="20"/>
        </w:rPr>
        <w:t>Phosphate rock</w:t>
      </w:r>
      <w:r w:rsidRPr="00ED4D73">
        <w:rPr>
          <w:sz w:val="22"/>
          <w:szCs w:val="20"/>
        </w:rPr>
        <w:t xml:space="preserve">. In </w:t>
      </w:r>
      <w:r w:rsidRPr="00ED4D73">
        <w:rPr>
          <w:i/>
          <w:iCs/>
          <w:sz w:val="22"/>
          <w:szCs w:val="20"/>
        </w:rPr>
        <w:t>Mineral commodity summaries 2026</w:t>
      </w:r>
      <w:r w:rsidRPr="00ED4D73">
        <w:rPr>
          <w:sz w:val="22"/>
          <w:szCs w:val="20"/>
        </w:rPr>
        <w:t>. Reston, VA: U.S. Geological Survey</w:t>
      </w:r>
      <w:r w:rsidR="003761F1">
        <w:rPr>
          <w:sz w:val="22"/>
          <w:szCs w:val="20"/>
        </w:rPr>
        <w:t xml:space="preserve">. </w:t>
      </w:r>
      <w:hyperlink r:id="rId12" w:history="1">
        <w:r w:rsidR="003761F1" w:rsidRPr="00525745">
          <w:rPr>
            <w:rStyle w:val="Hyperlink"/>
            <w:sz w:val="22"/>
            <w:szCs w:val="20"/>
          </w:rPr>
          <w:t>https://pubs.usgs.gov/periodicals/mcs2026/mcs2026-phosphate.pdf</w:t>
        </w:r>
      </w:hyperlink>
      <w:r w:rsidR="003761F1">
        <w:rPr>
          <w:sz w:val="22"/>
          <w:szCs w:val="20"/>
        </w:rPr>
        <w:t xml:space="preserve"> </w:t>
      </w:r>
    </w:p>
    <w:sectPr w:rsidR="00ED4D73" w:rsidRPr="00185C50"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E5239" w14:textId="77777777" w:rsidR="00DB604C" w:rsidRDefault="00DB604C" w:rsidP="000321E2">
      <w:pPr>
        <w:spacing w:after="0" w:line="240" w:lineRule="auto"/>
      </w:pPr>
      <w:r>
        <w:separator/>
      </w:r>
    </w:p>
  </w:endnote>
  <w:endnote w:type="continuationSeparator" w:id="0">
    <w:p w14:paraId="71EC1E01" w14:textId="77777777" w:rsidR="00DB604C" w:rsidRDefault="00DB604C" w:rsidP="00032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97F89" w14:textId="77777777" w:rsidR="00DB604C" w:rsidRDefault="00DB604C" w:rsidP="000321E2">
      <w:pPr>
        <w:spacing w:after="0" w:line="240" w:lineRule="auto"/>
      </w:pPr>
      <w:r>
        <w:separator/>
      </w:r>
    </w:p>
  </w:footnote>
  <w:footnote w:type="continuationSeparator" w:id="0">
    <w:p w14:paraId="622950D1" w14:textId="77777777" w:rsidR="00DB604C" w:rsidRDefault="00DB604C" w:rsidP="000321E2">
      <w:pPr>
        <w:spacing w:after="0" w:line="240" w:lineRule="auto"/>
      </w:pPr>
      <w:r>
        <w:continuationSeparator/>
      </w:r>
    </w:p>
  </w:footnote>
  <w:footnote w:id="1">
    <w:p w14:paraId="546874CF" w14:textId="77777777" w:rsidR="00553F76" w:rsidRDefault="00553F76" w:rsidP="00553F76">
      <w:pPr>
        <w:pStyle w:val="FootnoteText"/>
        <w:jc w:val="both"/>
      </w:pPr>
      <w:r>
        <w:rPr>
          <w:rStyle w:val="FootnoteReference"/>
        </w:rPr>
        <w:footnoteRef/>
      </w:r>
      <w:r>
        <w:t xml:space="preserve"> </w:t>
      </w:r>
      <w:r w:rsidRPr="00070F06">
        <w:t xml:space="preserve">GLORIA (Global Resource Input-Output Assessment) database is a </w:t>
      </w:r>
      <w:r>
        <w:t>m</w:t>
      </w:r>
      <w:r w:rsidRPr="00070F06">
        <w:t>ulti-</w:t>
      </w:r>
      <w:r>
        <w:t>r</w:t>
      </w:r>
      <w:r w:rsidRPr="00070F06">
        <w:t xml:space="preserve">egional </w:t>
      </w:r>
      <w:r>
        <w:t>i</w:t>
      </w:r>
      <w:r w:rsidRPr="00070F06">
        <w:t>nput-</w:t>
      </w:r>
      <w:r>
        <w:t>o</w:t>
      </w:r>
      <w:r w:rsidRPr="00070F06">
        <w:t xml:space="preserve">utput (MRIO) </w:t>
      </w:r>
      <w:r>
        <w:t xml:space="preserve">covering </w:t>
      </w:r>
      <w:r w:rsidRPr="00EF5CB4">
        <w:t>163 regions and 120 products</w:t>
      </w:r>
      <w:r>
        <w:t xml:space="preserve">, including </w:t>
      </w:r>
      <w:r w:rsidRPr="00EF5CB4">
        <w:t>bilateral trade flows</w:t>
      </w:r>
      <w:r>
        <w:t xml:space="preserve">. </w:t>
      </w:r>
      <w:hyperlink r:id="rId1" w:history="1">
        <w:r w:rsidRPr="00FD7FA2">
          <w:rPr>
            <w:rStyle w:val="Hyperlink"/>
          </w:rPr>
          <w:t>https://ielab.info/labs/ielab-gloria</w:t>
        </w:r>
      </w:hyperlink>
      <w:r>
        <w:t xml:space="preserve"> </w:t>
      </w:r>
    </w:p>
  </w:footnote>
  <w:footnote w:id="2">
    <w:p w14:paraId="5AD65E9B" w14:textId="6F43370E" w:rsidR="00A6637B" w:rsidRDefault="00A6637B" w:rsidP="00031F60">
      <w:pPr>
        <w:pStyle w:val="FootnoteText"/>
        <w:jc w:val="both"/>
      </w:pPr>
      <w:r>
        <w:rPr>
          <w:rStyle w:val="FootnoteReference"/>
        </w:rPr>
        <w:footnoteRef/>
      </w:r>
      <w:r>
        <w:t xml:space="preserve"> </w:t>
      </w:r>
      <w:r>
        <w:rPr>
          <w:rFonts w:cs="Times New Roman"/>
        </w:rPr>
        <w:t xml:space="preserve">Grounded in national accounts and official statistics, </w:t>
      </w:r>
      <w:r w:rsidRPr="0030742D">
        <w:rPr>
          <w:rFonts w:cs="Times New Roman"/>
        </w:rPr>
        <w:t xml:space="preserve">MRIO </w:t>
      </w:r>
      <w:r>
        <w:rPr>
          <w:rFonts w:cs="Times New Roman"/>
        </w:rPr>
        <w:t xml:space="preserve">databases (e.g., GLORIA, Eora) are increasingly used for empirical analysis as they provide a time-series of high resolution on interindustry and trade linkages across global supply chains, in addition to </w:t>
      </w:r>
      <w:r w:rsidRPr="00CF0CE3">
        <w:rPr>
          <w:rFonts w:cs="Times New Roman"/>
        </w:rPr>
        <w:t>environmental</w:t>
      </w:r>
      <w:r>
        <w:rPr>
          <w:rFonts w:cs="Times New Roman"/>
        </w:rPr>
        <w:t xml:space="preserve"> </w:t>
      </w:r>
      <w:r w:rsidRPr="00CF0CE3">
        <w:rPr>
          <w:rFonts w:cs="Times New Roman"/>
        </w:rPr>
        <w:t>and socio-economic extensions</w:t>
      </w:r>
      <w:r>
        <w:rPr>
          <w:rFonts w:cs="Times New Roman"/>
        </w:rPr>
        <w:t>.</w:t>
      </w:r>
    </w:p>
  </w:footnote>
  <w:footnote w:id="3">
    <w:p w14:paraId="445B606A" w14:textId="5F64E7B1" w:rsidR="00A82E45" w:rsidRPr="00A82E45" w:rsidRDefault="00A27B69" w:rsidP="00031F60">
      <w:pPr>
        <w:pStyle w:val="FootnoteText"/>
        <w:jc w:val="both"/>
        <w:rPr>
          <w:rFonts w:cs="Times New Roman"/>
        </w:rPr>
      </w:pPr>
      <w:r>
        <w:rPr>
          <w:rStyle w:val="FootnoteReference"/>
        </w:rPr>
        <w:footnoteRef/>
      </w:r>
      <w:r>
        <w:t xml:space="preserve"> </w:t>
      </w:r>
      <w:r>
        <w:rPr>
          <w:rFonts w:cs="Times New Roman"/>
        </w:rPr>
        <w:t>Because</w:t>
      </w:r>
      <w:r w:rsidRPr="004C00BA">
        <w:rPr>
          <w:rFonts w:cs="Times New Roman"/>
        </w:rPr>
        <w:t xml:space="preserve"> current IO tables do not explicitly identify </w:t>
      </w:r>
      <w:r>
        <w:rPr>
          <w:rFonts w:cs="Times New Roman"/>
        </w:rPr>
        <w:t>many</w:t>
      </w:r>
      <w:r w:rsidRPr="004C00BA">
        <w:rPr>
          <w:rFonts w:cs="Times New Roman"/>
        </w:rPr>
        <w:t xml:space="preserve"> green</w:t>
      </w:r>
      <w:r>
        <w:rPr>
          <w:rFonts w:cs="Times New Roman"/>
        </w:rPr>
        <w:t xml:space="preserve"> technologies or</w:t>
      </w:r>
      <w:r w:rsidRPr="004C00BA">
        <w:rPr>
          <w:rFonts w:cs="Times New Roman"/>
        </w:rPr>
        <w:t xml:space="preserve"> </w:t>
      </w:r>
      <w:r>
        <w:rPr>
          <w:rFonts w:cs="Times New Roman"/>
        </w:rPr>
        <w:t xml:space="preserve">investment </w:t>
      </w:r>
      <w:r w:rsidRPr="004C00BA">
        <w:rPr>
          <w:rFonts w:cs="Times New Roman"/>
        </w:rPr>
        <w:t xml:space="preserve">activities, such as renewable energy industries (e.g., solar, bioenergy), methodological extensions </w:t>
      </w:r>
      <w:r>
        <w:rPr>
          <w:rFonts w:cs="Times New Roman"/>
        </w:rPr>
        <w:t xml:space="preserve">typically </w:t>
      </w:r>
      <w:r w:rsidRPr="004C00BA">
        <w:rPr>
          <w:rFonts w:cs="Times New Roman"/>
        </w:rPr>
        <w:t xml:space="preserve">estimate employment multipliers by </w:t>
      </w:r>
      <w:r>
        <w:rPr>
          <w:rFonts w:cs="Times New Roman"/>
        </w:rPr>
        <w:t>constructing</w:t>
      </w:r>
      <w:r w:rsidRPr="004C00BA">
        <w:rPr>
          <w:rFonts w:cs="Times New Roman"/>
        </w:rPr>
        <w:t xml:space="preserve"> weighted average</w:t>
      </w:r>
      <w:r>
        <w:rPr>
          <w:rFonts w:cs="Times New Roman"/>
        </w:rPr>
        <w:t>s</w:t>
      </w:r>
      <w:r w:rsidRPr="004C00BA">
        <w:rPr>
          <w:rFonts w:cs="Times New Roman"/>
        </w:rPr>
        <w:t xml:space="preserve"> of </w:t>
      </w:r>
      <w:r>
        <w:rPr>
          <w:rFonts w:cs="Times New Roman"/>
        </w:rPr>
        <w:t xml:space="preserve">existing </w:t>
      </w:r>
      <w:r w:rsidRPr="004C00BA">
        <w:rPr>
          <w:rFonts w:cs="Times New Roman"/>
        </w:rPr>
        <w:t xml:space="preserve">industries </w:t>
      </w:r>
      <w:r>
        <w:rPr>
          <w:rFonts w:cs="Times New Roman"/>
        </w:rPr>
        <w:t>represented in</w:t>
      </w:r>
      <w:r w:rsidRPr="004C00BA">
        <w:rPr>
          <w:rFonts w:cs="Times New Roman"/>
        </w:rPr>
        <w:t xml:space="preserve"> the I-O tables (Garret-Peltier, 2017; Pollin, 2016). Weights and industries involved usually rely on fixed cost structures from survey data and </w:t>
      </w:r>
      <w:r>
        <w:rPr>
          <w:rFonts w:cs="Times New Roman"/>
        </w:rPr>
        <w:t xml:space="preserve">the </w:t>
      </w:r>
      <w:r w:rsidRPr="004C00BA">
        <w:rPr>
          <w:rFonts w:cs="Times New Roman"/>
        </w:rPr>
        <w:t>climate</w:t>
      </w:r>
      <w:r>
        <w:rPr>
          <w:rFonts w:cs="Times New Roman"/>
        </w:rPr>
        <w:t>-policy</w:t>
      </w:r>
      <w:r w:rsidRPr="004C00BA">
        <w:rPr>
          <w:rFonts w:cs="Times New Roman"/>
        </w:rPr>
        <w:t xml:space="preserve"> literature.</w:t>
      </w:r>
    </w:p>
  </w:footnote>
  <w:footnote w:id="4">
    <w:p w14:paraId="700587FB" w14:textId="06C43E5D" w:rsidR="00524843" w:rsidRDefault="00524843" w:rsidP="00B418CD">
      <w:pPr>
        <w:pStyle w:val="FootnoteText"/>
        <w:jc w:val="both"/>
      </w:pPr>
      <w:r>
        <w:rPr>
          <w:rStyle w:val="FootnoteReference"/>
        </w:rPr>
        <w:footnoteRef/>
      </w:r>
      <w:r>
        <w:t xml:space="preserve"> </w:t>
      </w:r>
      <w:r w:rsidR="00B418CD" w:rsidRPr="00B418CD">
        <w:t>Direct jobs are created in the industry producing the final output, while indirect jobs arise in upstream industries that supply the inputs needed for production.</w:t>
      </w:r>
    </w:p>
  </w:footnote>
  <w:footnote w:id="5">
    <w:p w14:paraId="7946E4E9" w14:textId="437084B9" w:rsidR="00901607" w:rsidRDefault="00901607" w:rsidP="00C37389">
      <w:pPr>
        <w:pStyle w:val="FootnoteText"/>
        <w:jc w:val="both"/>
      </w:pPr>
      <w:r>
        <w:rPr>
          <w:rStyle w:val="FootnoteReference"/>
        </w:rPr>
        <w:footnoteRef/>
      </w:r>
      <w:r>
        <w:t xml:space="preserve"> </w:t>
      </w:r>
      <w:r w:rsidR="009C7544" w:rsidRPr="009C7544">
        <w:t>In total, SISEPUEDE’s climate action portfolio includes 41 transformations, of which 18 are included in the employment estimates.</w:t>
      </w:r>
    </w:p>
  </w:footnote>
  <w:footnote w:id="6">
    <w:p w14:paraId="1BFA7037" w14:textId="3CE1C050" w:rsidR="00F64E73" w:rsidRDefault="00F64E73" w:rsidP="00C37389">
      <w:pPr>
        <w:pStyle w:val="FootnoteText"/>
        <w:jc w:val="both"/>
      </w:pPr>
      <w:r>
        <w:rPr>
          <w:rStyle w:val="FootnoteReference"/>
        </w:rPr>
        <w:footnoteRef/>
      </w:r>
      <w:r>
        <w:t xml:space="preserve"> </w:t>
      </w:r>
      <w:r w:rsidR="00D03C72" w:rsidRPr="00D03C72">
        <w:t>S</w:t>
      </w:r>
      <w:r w:rsidR="006C3125">
        <w:t>ISEPUEDE</w:t>
      </w:r>
      <w:r w:rsidR="00D03C72" w:rsidRPr="00D03C72">
        <w:t xml:space="preserve"> (Simulation of Sectoral Pathways and Uncertainty Exploration for Decarbonization) is a toolbox for designing development strategies and analyzing, under uncertainty, their emissions, costs, benefits, and alignment with development goals and Paris Agreement targets</w:t>
      </w:r>
      <w:r w:rsidR="006C3125">
        <w:t xml:space="preserve"> (</w:t>
      </w:r>
      <w:r w:rsidR="006C3125" w:rsidRPr="000E5724">
        <w:t>Kalra et al.</w:t>
      </w:r>
      <w:r w:rsidR="006C3125">
        <w:t xml:space="preserve">, </w:t>
      </w:r>
      <w:r w:rsidR="006C3125" w:rsidRPr="000E5724">
        <w:t>2023</w:t>
      </w:r>
      <w:r w:rsidR="006C3125">
        <w:t>)</w:t>
      </w:r>
      <w:r w:rsidR="00D03C72" w:rsidRPr="00D03C72">
        <w:t>.</w:t>
      </w:r>
    </w:p>
  </w:footnote>
  <w:footnote w:id="7">
    <w:p w14:paraId="78ABC98B" w14:textId="037E3D09" w:rsidR="00070F06" w:rsidRDefault="00070F06" w:rsidP="00C37389">
      <w:pPr>
        <w:pStyle w:val="FootnoteText"/>
        <w:jc w:val="both"/>
      </w:pPr>
      <w:r>
        <w:rPr>
          <w:rStyle w:val="FootnoteReference"/>
        </w:rPr>
        <w:footnoteRef/>
      </w:r>
      <w:r>
        <w:t xml:space="preserve"> </w:t>
      </w:r>
      <w:r w:rsidRPr="00070F06">
        <w:t xml:space="preserve">GLORIA (Global Resource Input-Output Assessment) database is a </w:t>
      </w:r>
      <w:r>
        <w:t>m</w:t>
      </w:r>
      <w:r w:rsidRPr="00070F06">
        <w:t>ulti-</w:t>
      </w:r>
      <w:r>
        <w:t>r</w:t>
      </w:r>
      <w:r w:rsidRPr="00070F06">
        <w:t xml:space="preserve">egional </w:t>
      </w:r>
      <w:r>
        <w:t>i</w:t>
      </w:r>
      <w:r w:rsidRPr="00070F06">
        <w:t>nput-</w:t>
      </w:r>
      <w:r w:rsidR="00FB17E1">
        <w:t>o</w:t>
      </w:r>
      <w:r w:rsidRPr="00070F06">
        <w:t xml:space="preserve">utput (MRIO) </w:t>
      </w:r>
      <w:r w:rsidR="00EF5CB4">
        <w:t xml:space="preserve">covering </w:t>
      </w:r>
      <w:r w:rsidR="00EF5CB4" w:rsidRPr="00EF5CB4">
        <w:t>163 regions and 120 products</w:t>
      </w:r>
      <w:r w:rsidR="00F403A5">
        <w:t xml:space="preserve">, including </w:t>
      </w:r>
      <w:r w:rsidR="00EF5CB4" w:rsidRPr="00EF5CB4">
        <w:t>bilateral trade flows</w:t>
      </w:r>
      <w:r w:rsidR="00F403A5">
        <w:t xml:space="preserve">. </w:t>
      </w:r>
      <w:hyperlink r:id="rId2" w:history="1">
        <w:r w:rsidR="00F403A5" w:rsidRPr="00FD7FA2">
          <w:rPr>
            <w:rStyle w:val="Hyperlink"/>
          </w:rPr>
          <w:t>https://ielab.info/labs/ielab-gloria</w:t>
        </w:r>
      </w:hyperlink>
      <w:r w:rsidR="00F403A5">
        <w:t xml:space="preserve"> </w:t>
      </w:r>
    </w:p>
  </w:footnote>
  <w:footnote w:id="8">
    <w:p w14:paraId="0EB63FDC" w14:textId="139A49DF" w:rsidR="00C1507F" w:rsidRDefault="00C1507F" w:rsidP="00C37389">
      <w:pPr>
        <w:pStyle w:val="FootnoteText"/>
        <w:jc w:val="both"/>
      </w:pPr>
      <w:r>
        <w:rPr>
          <w:rStyle w:val="FootnoteReference"/>
        </w:rPr>
        <w:footnoteRef/>
      </w:r>
      <w:r>
        <w:t xml:space="preserve"> </w:t>
      </w:r>
      <w:r w:rsidR="00A93D01">
        <w:t xml:space="preserve">In </w:t>
      </w:r>
      <w:r w:rsidR="000E5724" w:rsidRPr="000E5724">
        <w:t>Kalra et al.</w:t>
      </w:r>
      <w:r w:rsidR="00A93D01">
        <w:t xml:space="preserve"> (</w:t>
      </w:r>
      <w:r w:rsidR="000E5724" w:rsidRPr="000E5724">
        <w:t>2023</w:t>
      </w:r>
      <w:r w:rsidR="00A93D01">
        <w:t>), a</w:t>
      </w:r>
      <w:r w:rsidR="00AC3CC1">
        <w:t xml:space="preserve"> “Traditional Development” trajectory </w:t>
      </w:r>
      <w:r w:rsidR="001B0EBD" w:rsidRPr="001B0EBD">
        <w:t xml:space="preserve">follows past development trends associated with rising GDP per capita and growing demand for goods and services </w:t>
      </w:r>
      <w:r w:rsidR="00F654B2">
        <w:t xml:space="preserve">(e.g., </w:t>
      </w:r>
      <w:r w:rsidR="00CC6239" w:rsidRPr="00CC6239">
        <w:t>beef</w:t>
      </w:r>
      <w:r w:rsidR="00F654B2">
        <w:t xml:space="preserve"> consumption, </w:t>
      </w:r>
      <w:r w:rsidR="00CC6239" w:rsidRPr="00CC6239">
        <w:t>automobile ownership</w:t>
      </w:r>
      <w:r w:rsidR="000E5724">
        <w:t>)</w:t>
      </w:r>
      <w:r w:rsidR="00CC6239" w:rsidRPr="00CC6239">
        <w:t>.</w:t>
      </w:r>
    </w:p>
  </w:footnote>
  <w:footnote w:id="9">
    <w:p w14:paraId="059D8BA4" w14:textId="2011785D" w:rsidR="00E52A9D" w:rsidRDefault="00E52A9D" w:rsidP="00C37389">
      <w:pPr>
        <w:pStyle w:val="FootnoteText"/>
        <w:jc w:val="both"/>
      </w:pPr>
      <w:r>
        <w:rPr>
          <w:rStyle w:val="FootnoteReference"/>
        </w:rPr>
        <w:footnoteRef/>
      </w:r>
      <w:r>
        <w:t xml:space="preserve"> </w:t>
      </w:r>
      <w:r w:rsidR="00864BAB" w:rsidRPr="00864BAB">
        <w:t xml:space="preserve">SISEPUEDE integrates the modeling of </w:t>
      </w:r>
      <w:r w:rsidR="00864BAB">
        <w:t>a</w:t>
      </w:r>
      <w:r w:rsidR="00864BAB" w:rsidRPr="00864BAB">
        <w:t xml:space="preserve">griculture, </w:t>
      </w:r>
      <w:r w:rsidR="00864BAB">
        <w:t>f</w:t>
      </w:r>
      <w:r w:rsidR="00864BAB" w:rsidRPr="00864BAB">
        <w:t xml:space="preserve">orestry, and </w:t>
      </w:r>
      <w:r w:rsidR="00864BAB">
        <w:t>o</w:t>
      </w:r>
      <w:r w:rsidR="00864BAB" w:rsidRPr="00864BAB">
        <w:t xml:space="preserve">ther </w:t>
      </w:r>
      <w:r w:rsidR="00864BAB">
        <w:t>l</w:t>
      </w:r>
      <w:r w:rsidR="00864BAB" w:rsidRPr="00864BAB">
        <w:t xml:space="preserve">and </w:t>
      </w:r>
      <w:r w:rsidR="00864BAB">
        <w:t>u</w:t>
      </w:r>
      <w:r w:rsidR="00864BAB" w:rsidRPr="00864BAB">
        <w:t>se (AFOLU), energy, transport, buildings, industry, and waste, following the methodology of the Intergovernmental Panel on Climate Change (IPCC, 2006, 2019).</w:t>
      </w:r>
    </w:p>
  </w:footnote>
  <w:footnote w:id="10">
    <w:p w14:paraId="70C82A59" w14:textId="384EED0B" w:rsidR="00DA3EC7" w:rsidRDefault="00DA3EC7" w:rsidP="00C37389">
      <w:pPr>
        <w:pStyle w:val="FootnoteText"/>
        <w:jc w:val="both"/>
      </w:pPr>
      <w:r>
        <w:rPr>
          <w:rStyle w:val="FootnoteReference"/>
        </w:rPr>
        <w:footnoteRef/>
      </w:r>
      <w:r>
        <w:t xml:space="preserve"> GLORIA’s s</w:t>
      </w:r>
      <w:r w:rsidRPr="00656ABE">
        <w:t>ector classification follows the United Nations International Standard Industrial Classification of All Economic Activities (ISIC) Revision 4 (United Nations Statistics Division, 2008).</w:t>
      </w:r>
    </w:p>
  </w:footnote>
  <w:footnote w:id="11">
    <w:p w14:paraId="50274CC7" w14:textId="50936380" w:rsidR="00CF30B3" w:rsidRDefault="00CF30B3">
      <w:pPr>
        <w:pStyle w:val="FootnoteText"/>
      </w:pPr>
      <w:r>
        <w:rPr>
          <w:rStyle w:val="FootnoteReference"/>
        </w:rPr>
        <w:footnoteRef/>
      </w:r>
      <w:r>
        <w:t xml:space="preserve"> </w:t>
      </w:r>
      <w:r w:rsidRPr="00CF30B3">
        <w:t>These conditions may be more plausible in the short and medium run than market clearing with full employment, especially in developing countries such as Morocco, where labor-market slack and informality are substantial. That said, we agree that these assumptions may be less plausible in the long run.</w:t>
      </w:r>
    </w:p>
  </w:footnote>
  <w:footnote w:id="12">
    <w:p w14:paraId="71393571" w14:textId="608837EC" w:rsidR="00CF1E47" w:rsidRDefault="00CF1E47">
      <w:pPr>
        <w:pStyle w:val="FootnoteText"/>
      </w:pPr>
      <w:r>
        <w:rPr>
          <w:rStyle w:val="FootnoteReference"/>
        </w:rPr>
        <w:footnoteRef/>
      </w:r>
      <w:r>
        <w:t xml:space="preserve"> </w:t>
      </w:r>
      <w:r w:rsidRPr="000D4456">
        <w:t>In 2019, fossil fuels accounted for 90.2 percent of Morocco's total energy use, including oil at 56.5 percent, coal at 29.8 percent, and natural gas at 3.9 percent. Although renewable energy accounted for around 20 percent of electricity generation by 2021, Morocco's energy system remained strongly dependent on fossil fuels (World Bank, 2022).</w:t>
      </w:r>
    </w:p>
  </w:footnote>
  <w:footnote w:id="13">
    <w:p w14:paraId="57571A34" w14:textId="0C187005" w:rsidR="00CF1E47" w:rsidRDefault="00CF1E47" w:rsidP="00980607">
      <w:pPr>
        <w:pStyle w:val="FootnoteText"/>
        <w:jc w:val="both"/>
      </w:pPr>
      <w:r>
        <w:rPr>
          <w:rStyle w:val="FootnoteReference"/>
        </w:rPr>
        <w:footnoteRef/>
      </w:r>
      <w:r>
        <w:t xml:space="preserve"> </w:t>
      </w:r>
      <w:r w:rsidRPr="000D4456">
        <w:t>Between 1960 and 2020, Morocco’s per capita renewable water availability declined from about 2,560 m³ per person per year to roughly 620 m³. This level is below the 1,000 m³ threshold for structural water stress and close to the 500 m³ threshold for absolute water scarcity</w:t>
      </w:r>
      <w:r w:rsidRPr="000D4456">
        <w:rPr>
          <w:rFonts w:cs="Times New Roman"/>
          <w:noProof/>
          <w:color w:val="FF0000"/>
        </w:rPr>
        <w:t xml:space="preserve"> </w:t>
      </w:r>
      <w:r w:rsidRPr="00FE1B68">
        <w:rPr>
          <w:rFonts w:cs="Times New Roman"/>
          <w:noProof/>
          <w:color w:val="000000" w:themeColor="text1"/>
        </w:rPr>
        <w:t>(World Bank, 2022).</w:t>
      </w:r>
    </w:p>
  </w:footnote>
  <w:footnote w:id="14">
    <w:p w14:paraId="0068426E" w14:textId="1C4B2B85" w:rsidR="00CF1E47" w:rsidRDefault="00CF1E47" w:rsidP="00980607">
      <w:pPr>
        <w:pStyle w:val="FootnoteText"/>
        <w:jc w:val="both"/>
      </w:pPr>
      <w:r>
        <w:rPr>
          <w:rStyle w:val="FootnoteReference"/>
        </w:rPr>
        <w:footnoteRef/>
      </w:r>
      <w:r>
        <w:t xml:space="preserve"> </w:t>
      </w:r>
      <w:r w:rsidRPr="000D4456">
        <w:t>Between 2000 and 2019, Morocco's greenhouse gas emissions (GHG) doubled from 44.6 to 91.2 million tons of CO2 equivalent (World Bank, 2022).</w:t>
      </w:r>
    </w:p>
  </w:footnote>
  <w:footnote w:id="15">
    <w:p w14:paraId="52E266DC" w14:textId="12CF639B" w:rsidR="00F91FED" w:rsidRDefault="00F91FED" w:rsidP="00980607">
      <w:pPr>
        <w:pStyle w:val="FootnoteText"/>
        <w:jc w:val="both"/>
      </w:pPr>
      <w:r>
        <w:rPr>
          <w:rStyle w:val="FootnoteReference"/>
        </w:rPr>
        <w:footnoteRef/>
      </w:r>
      <w:r>
        <w:t xml:space="preserve"> </w:t>
      </w:r>
      <w:r w:rsidRPr="000D4456">
        <w:rPr>
          <w:rFonts w:cs="Times New Roman"/>
          <w:noProof/>
          <w:color w:val="000000" w:themeColor="text1"/>
        </w:rPr>
        <w:t>Between 2010 and 2020, energy accounted for 19.4% of Morocco's total imports.</w:t>
      </w:r>
    </w:p>
  </w:footnote>
  <w:footnote w:id="16">
    <w:p w14:paraId="08C9B83A" w14:textId="671E1919" w:rsidR="006C35D3" w:rsidRDefault="006C35D3" w:rsidP="00DA0293">
      <w:pPr>
        <w:pStyle w:val="FootnoteText"/>
        <w:jc w:val="both"/>
      </w:pPr>
      <w:r>
        <w:rPr>
          <w:rStyle w:val="FootnoteReference"/>
        </w:rPr>
        <w:footnoteRef/>
      </w:r>
      <w:r>
        <w:t xml:space="preserve"> </w:t>
      </w:r>
      <w:r w:rsidR="00F91FED">
        <w:t>Green a</w:t>
      </w:r>
      <w:r w:rsidR="00F91FED" w:rsidRPr="000246F5">
        <w:t xml:space="preserve">mmonia (NH₃) can be produced using renewable electricity to generate hydrogen through water electrolysis, avoiding the CO₂ emissions associated with conventional ammonia production from natural gas. </w:t>
      </w:r>
      <w:r w:rsidR="00F91FED">
        <w:t>(</w:t>
      </w:r>
      <w:r w:rsidR="00F91FED" w:rsidRPr="00DD1317">
        <w:t>Bouaboula</w:t>
      </w:r>
      <w:r w:rsidR="00F91FED">
        <w:t xml:space="preserve"> et al., 2023).</w:t>
      </w:r>
    </w:p>
  </w:footnote>
  <w:footnote w:id="17">
    <w:p w14:paraId="68C93C90" w14:textId="180F0D18" w:rsidR="00C80FB3" w:rsidRDefault="00C80FB3">
      <w:pPr>
        <w:pStyle w:val="FootnoteText"/>
      </w:pPr>
      <w:r>
        <w:rPr>
          <w:rStyle w:val="FootnoteReference"/>
        </w:rPr>
        <w:footnoteRef/>
      </w:r>
      <w:r>
        <w:t xml:space="preserve"> In 2025, Morocco labor force size reached 12.6 million workers (World Bank Data, 2026). </w:t>
      </w:r>
      <w:hyperlink r:id="rId3" w:history="1">
        <w:r w:rsidRPr="00FD7FA2">
          <w:rPr>
            <w:rStyle w:val="Hyperlink"/>
          </w:rPr>
          <w:t>https://data.worldbank.org/indicator/SL.TLF.TOTL.IN?locations=MA</w:t>
        </w:r>
      </w:hyperlink>
    </w:p>
  </w:footnote>
  <w:footnote w:id="18">
    <w:p w14:paraId="40FAF3E4" w14:textId="54A3613A" w:rsidR="00507677" w:rsidRDefault="00507677">
      <w:pPr>
        <w:pStyle w:val="FootnoteText"/>
      </w:pPr>
      <w:r>
        <w:rPr>
          <w:rStyle w:val="FootnoteReference"/>
        </w:rPr>
        <w:footnoteRef/>
      </w:r>
      <w:r>
        <w:t xml:space="preserve"> </w:t>
      </w:r>
      <w:r w:rsidR="00302F89" w:rsidRPr="00302F89">
        <w:t>The measure captures the volume of employment supported over time, not the number of distinct workers</w:t>
      </w:r>
      <w:r w:rsidR="00134B95">
        <w:t xml:space="preserve">. </w:t>
      </w:r>
      <w:r w:rsidR="00134B95" w:rsidRPr="00134B95">
        <w:t>A position that lasts ten periods contributes ten job-years</w:t>
      </w:r>
      <w:r w:rsidR="00134B95">
        <w:t>, for instance</w:t>
      </w:r>
      <w:r w:rsidR="00134B95" w:rsidRPr="00134B95">
        <w:t>.</w:t>
      </w:r>
    </w:p>
  </w:footnote>
  <w:footnote w:id="19">
    <w:p w14:paraId="27BDE883" w14:textId="04BABEA3" w:rsidR="00216915" w:rsidRDefault="00216915" w:rsidP="00C0285E">
      <w:pPr>
        <w:pStyle w:val="FootnoteText"/>
        <w:jc w:val="both"/>
      </w:pPr>
      <w:r>
        <w:rPr>
          <w:rStyle w:val="FootnoteReference"/>
        </w:rPr>
        <w:footnoteRef/>
      </w:r>
      <w:r>
        <w:t xml:space="preserve"> </w:t>
      </w:r>
      <w:r w:rsidR="00A15278" w:rsidRPr="00A15278">
        <w:t>Construction</w:t>
      </w:r>
      <w:r w:rsidR="00A15278">
        <w:t xml:space="preserve"> </w:t>
      </w:r>
      <w:r w:rsidR="00A15278" w:rsidRPr="00A15278">
        <w:t xml:space="preserve">sector multipliers can exceed those for the economy as a whole </w:t>
      </w:r>
      <w:r w:rsidR="00AD416E" w:rsidRPr="00AD416E">
        <w:t>because of characteristics of</w:t>
      </w:r>
      <w:r w:rsidR="00A15278" w:rsidRPr="00A15278">
        <w:t xml:space="preserve"> construction activit</w:t>
      </w:r>
      <w:r w:rsidR="00C21875">
        <w:t>y</w:t>
      </w:r>
      <w:r w:rsidR="00A15278" w:rsidRPr="00A15278">
        <w:t xml:space="preserve">, </w:t>
      </w:r>
      <w:r w:rsidR="00B723D1">
        <w:t>such as the</w:t>
      </w:r>
      <w:r w:rsidR="00A15278" w:rsidRPr="00A15278">
        <w:t xml:space="preserve"> reliance on material inputs from other industries and relatively labor-intensive work.</w:t>
      </w:r>
      <w:r w:rsidR="00C0285E" w:rsidRPr="00C0285E">
        <w:t xml:space="preserve"> </w:t>
      </w:r>
      <w:r w:rsidR="006C44DD" w:rsidRPr="00C0285E">
        <w:t>(Ernst and Sarabia, 2015; Kofoworola and Gheewala, 2008)</w:t>
      </w:r>
      <w:r w:rsidR="006C44DD" w:rsidRPr="00C0285E">
        <w:rPr>
          <w:szCs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2662F8"/>
    <w:multiLevelType w:val="multilevel"/>
    <w:tmpl w:val="CD8ACBC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0D32D6E"/>
    <w:multiLevelType w:val="hybridMultilevel"/>
    <w:tmpl w:val="354AA8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587020"/>
    <w:multiLevelType w:val="multilevel"/>
    <w:tmpl w:val="CD8ACBC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64C20C2"/>
    <w:multiLevelType w:val="multilevel"/>
    <w:tmpl w:val="B33ECBF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AC236AD"/>
    <w:multiLevelType w:val="hybridMultilevel"/>
    <w:tmpl w:val="9A7641F8"/>
    <w:lvl w:ilvl="0" w:tplc="8A94BA2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D04C07"/>
    <w:multiLevelType w:val="multilevel"/>
    <w:tmpl w:val="CD8ACBC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01A4609"/>
    <w:multiLevelType w:val="multilevel"/>
    <w:tmpl w:val="B33ECBF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47131E4"/>
    <w:multiLevelType w:val="multilevel"/>
    <w:tmpl w:val="CD8ACBC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76D3D79"/>
    <w:multiLevelType w:val="multilevel"/>
    <w:tmpl w:val="CD8ACBC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A485348"/>
    <w:multiLevelType w:val="multilevel"/>
    <w:tmpl w:val="CD8ACBC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EB92A88"/>
    <w:multiLevelType w:val="multilevel"/>
    <w:tmpl w:val="CD8ACBC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3051580"/>
    <w:multiLevelType w:val="hybridMultilevel"/>
    <w:tmpl w:val="3FECCA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8A722DF"/>
    <w:multiLevelType w:val="multilevel"/>
    <w:tmpl w:val="FCEEC394"/>
    <w:lvl w:ilvl="0">
      <w:start w:val="2"/>
      <w:numFmt w:val="decimal"/>
      <w:lvlText w:val="%1"/>
      <w:lvlJc w:val="left"/>
      <w:pPr>
        <w:ind w:left="420" w:hanging="420"/>
      </w:pPr>
      <w:rPr>
        <w:rFonts w:hint="default"/>
      </w:rPr>
    </w:lvl>
    <w:lvl w:ilvl="1">
      <w:start w:val="2"/>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608"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704" w:hanging="2160"/>
      </w:pPr>
      <w:rPr>
        <w:rFonts w:hint="default"/>
      </w:rPr>
    </w:lvl>
    <w:lvl w:ilvl="8">
      <w:start w:val="1"/>
      <w:numFmt w:val="decimal"/>
      <w:lvlText w:val="%1.%2.%3.%4.%5.%6.%7.%8.%9"/>
      <w:lvlJc w:val="left"/>
      <w:pPr>
        <w:ind w:left="8496" w:hanging="2160"/>
      </w:pPr>
      <w:rPr>
        <w:rFonts w:hint="default"/>
      </w:rPr>
    </w:lvl>
  </w:abstractNum>
  <w:abstractNum w:abstractNumId="22" w15:restartNumberingAfterBreak="0">
    <w:nsid w:val="3A7A07B0"/>
    <w:multiLevelType w:val="multilevel"/>
    <w:tmpl w:val="CD8ACBC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2032911"/>
    <w:multiLevelType w:val="multilevel"/>
    <w:tmpl w:val="CD8ACBC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2F1620C"/>
    <w:multiLevelType w:val="multilevel"/>
    <w:tmpl w:val="B33ECBF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A4B6D17"/>
    <w:multiLevelType w:val="multilevel"/>
    <w:tmpl w:val="B33ECBF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D667E60"/>
    <w:multiLevelType w:val="multilevel"/>
    <w:tmpl w:val="CD8ACBC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E5029B3"/>
    <w:multiLevelType w:val="multilevel"/>
    <w:tmpl w:val="CD8ACBC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5DC2879"/>
    <w:multiLevelType w:val="multilevel"/>
    <w:tmpl w:val="BDA8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6EB2F11"/>
    <w:multiLevelType w:val="multilevel"/>
    <w:tmpl w:val="CD8ACBC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58AC0CD6"/>
    <w:multiLevelType w:val="multilevel"/>
    <w:tmpl w:val="2DC079E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592F26F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0172A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0DC12AC"/>
    <w:multiLevelType w:val="multilevel"/>
    <w:tmpl w:val="CD8ACBC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611D6B2E"/>
    <w:multiLevelType w:val="multilevel"/>
    <w:tmpl w:val="CD8ACBC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62B17938"/>
    <w:multiLevelType w:val="multilevel"/>
    <w:tmpl w:val="CD8ACBC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643B7E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A3F3C69"/>
    <w:multiLevelType w:val="multilevel"/>
    <w:tmpl w:val="CD8ACBC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6D0B06EA"/>
    <w:multiLevelType w:val="hybridMultilevel"/>
    <w:tmpl w:val="24B8F56C"/>
    <w:lvl w:ilvl="0" w:tplc="495E16C0">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CA1F2A"/>
    <w:multiLevelType w:val="multilevel"/>
    <w:tmpl w:val="B33ECBFE"/>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40" w15:restartNumberingAfterBreak="0">
    <w:nsid w:val="6F816460"/>
    <w:multiLevelType w:val="hybridMultilevel"/>
    <w:tmpl w:val="2CFAEE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1F4B66"/>
    <w:multiLevelType w:val="multilevel"/>
    <w:tmpl w:val="92CC0EF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2" w15:restartNumberingAfterBreak="0">
    <w:nsid w:val="7D282BB4"/>
    <w:multiLevelType w:val="multilevel"/>
    <w:tmpl w:val="CD8ACBC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7EF563BC"/>
    <w:multiLevelType w:val="hybridMultilevel"/>
    <w:tmpl w:val="B3B6DC5A"/>
    <w:lvl w:ilvl="0" w:tplc="115EBDA4">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8826833">
    <w:abstractNumId w:val="8"/>
  </w:num>
  <w:num w:numId="2" w16cid:durableId="1102460494">
    <w:abstractNumId w:val="6"/>
  </w:num>
  <w:num w:numId="3" w16cid:durableId="552733877">
    <w:abstractNumId w:val="5"/>
  </w:num>
  <w:num w:numId="4" w16cid:durableId="2090076910">
    <w:abstractNumId w:val="4"/>
  </w:num>
  <w:num w:numId="5" w16cid:durableId="1417171877">
    <w:abstractNumId w:val="7"/>
  </w:num>
  <w:num w:numId="6" w16cid:durableId="1176774329">
    <w:abstractNumId w:val="3"/>
  </w:num>
  <w:num w:numId="7" w16cid:durableId="663626950">
    <w:abstractNumId w:val="2"/>
  </w:num>
  <w:num w:numId="8" w16cid:durableId="18511119">
    <w:abstractNumId w:val="1"/>
  </w:num>
  <w:num w:numId="9" w16cid:durableId="1020736597">
    <w:abstractNumId w:val="0"/>
  </w:num>
  <w:num w:numId="10" w16cid:durableId="1132166615">
    <w:abstractNumId w:val="35"/>
  </w:num>
  <w:num w:numId="11" w16cid:durableId="1166096761">
    <w:abstractNumId w:val="40"/>
  </w:num>
  <w:num w:numId="12" w16cid:durableId="2008748844">
    <w:abstractNumId w:val="20"/>
  </w:num>
  <w:num w:numId="13" w16cid:durableId="924651130">
    <w:abstractNumId w:val="10"/>
  </w:num>
  <w:num w:numId="14" w16cid:durableId="1971743257">
    <w:abstractNumId w:val="43"/>
  </w:num>
  <w:num w:numId="15" w16cid:durableId="2031300334">
    <w:abstractNumId w:val="38"/>
  </w:num>
  <w:num w:numId="16" w16cid:durableId="511064853">
    <w:abstractNumId w:val="31"/>
  </w:num>
  <w:num w:numId="17" w16cid:durableId="1207402343">
    <w:abstractNumId w:val="21"/>
  </w:num>
  <w:num w:numId="18" w16cid:durableId="1391542038">
    <w:abstractNumId w:val="28"/>
  </w:num>
  <w:num w:numId="19" w16cid:durableId="192695022">
    <w:abstractNumId w:val="13"/>
  </w:num>
  <w:num w:numId="20" w16cid:durableId="1387528997">
    <w:abstractNumId w:val="32"/>
  </w:num>
  <w:num w:numId="21" w16cid:durableId="1261335128">
    <w:abstractNumId w:val="36"/>
  </w:num>
  <w:num w:numId="22" w16cid:durableId="726610847">
    <w:abstractNumId w:val="12"/>
  </w:num>
  <w:num w:numId="23" w16cid:durableId="1557740409">
    <w:abstractNumId w:val="25"/>
  </w:num>
  <w:num w:numId="24" w16cid:durableId="254746300">
    <w:abstractNumId w:val="24"/>
  </w:num>
  <w:num w:numId="25" w16cid:durableId="1398211982">
    <w:abstractNumId w:val="22"/>
  </w:num>
  <w:num w:numId="26" w16cid:durableId="170339366">
    <w:abstractNumId w:val="39"/>
  </w:num>
  <w:num w:numId="27" w16cid:durableId="871769477">
    <w:abstractNumId w:val="41"/>
  </w:num>
  <w:num w:numId="28" w16cid:durableId="844055937">
    <w:abstractNumId w:val="30"/>
  </w:num>
  <w:num w:numId="29" w16cid:durableId="29376661">
    <w:abstractNumId w:val="27"/>
  </w:num>
  <w:num w:numId="30" w16cid:durableId="1429038864">
    <w:abstractNumId w:val="18"/>
  </w:num>
  <w:num w:numId="31" w16cid:durableId="1906985101">
    <w:abstractNumId w:val="42"/>
  </w:num>
  <w:num w:numId="32" w16cid:durableId="631448361">
    <w:abstractNumId w:val="17"/>
  </w:num>
  <w:num w:numId="33" w16cid:durableId="954479471">
    <w:abstractNumId w:val="34"/>
  </w:num>
  <w:num w:numId="34" w16cid:durableId="28461823">
    <w:abstractNumId w:val="33"/>
  </w:num>
  <w:num w:numId="35" w16cid:durableId="116534345">
    <w:abstractNumId w:val="15"/>
  </w:num>
  <w:num w:numId="36" w16cid:durableId="1042097452">
    <w:abstractNumId w:val="23"/>
  </w:num>
  <w:num w:numId="37" w16cid:durableId="1453934656">
    <w:abstractNumId w:val="11"/>
  </w:num>
  <w:num w:numId="38" w16cid:durableId="1576547709">
    <w:abstractNumId w:val="19"/>
  </w:num>
  <w:num w:numId="39" w16cid:durableId="1884323377">
    <w:abstractNumId w:val="37"/>
  </w:num>
  <w:num w:numId="40" w16cid:durableId="1042709549">
    <w:abstractNumId w:val="14"/>
  </w:num>
  <w:num w:numId="41" w16cid:durableId="787234140">
    <w:abstractNumId w:val="16"/>
  </w:num>
  <w:num w:numId="42" w16cid:durableId="879559795">
    <w:abstractNumId w:val="26"/>
  </w:num>
  <w:num w:numId="43" w16cid:durableId="1321690275">
    <w:abstractNumId w:val="9"/>
  </w:num>
  <w:num w:numId="44" w16cid:durableId="169511050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3DC"/>
    <w:rsid w:val="00001460"/>
    <w:rsid w:val="000015B4"/>
    <w:rsid w:val="000016E6"/>
    <w:rsid w:val="00001D98"/>
    <w:rsid w:val="00002584"/>
    <w:rsid w:val="0000336B"/>
    <w:rsid w:val="000034B0"/>
    <w:rsid w:val="00003659"/>
    <w:rsid w:val="00003709"/>
    <w:rsid w:val="00003973"/>
    <w:rsid w:val="00003AB3"/>
    <w:rsid w:val="00003DEF"/>
    <w:rsid w:val="0000422A"/>
    <w:rsid w:val="000047A4"/>
    <w:rsid w:val="000047FD"/>
    <w:rsid w:val="00005854"/>
    <w:rsid w:val="00006795"/>
    <w:rsid w:val="000075E0"/>
    <w:rsid w:val="00007EAD"/>
    <w:rsid w:val="0001003B"/>
    <w:rsid w:val="00010C42"/>
    <w:rsid w:val="00011AA0"/>
    <w:rsid w:val="00011C43"/>
    <w:rsid w:val="000121F4"/>
    <w:rsid w:val="000121F8"/>
    <w:rsid w:val="00012580"/>
    <w:rsid w:val="00013CE4"/>
    <w:rsid w:val="00014545"/>
    <w:rsid w:val="00014A0E"/>
    <w:rsid w:val="00014E51"/>
    <w:rsid w:val="0001514C"/>
    <w:rsid w:val="000154B3"/>
    <w:rsid w:val="0001558D"/>
    <w:rsid w:val="00015924"/>
    <w:rsid w:val="00015BBD"/>
    <w:rsid w:val="00016459"/>
    <w:rsid w:val="00016B66"/>
    <w:rsid w:val="00017421"/>
    <w:rsid w:val="0002064D"/>
    <w:rsid w:val="0002069D"/>
    <w:rsid w:val="000208B1"/>
    <w:rsid w:val="00020B31"/>
    <w:rsid w:val="00020F6C"/>
    <w:rsid w:val="000210AF"/>
    <w:rsid w:val="0002128B"/>
    <w:rsid w:val="00021C97"/>
    <w:rsid w:val="00021EB6"/>
    <w:rsid w:val="00021F23"/>
    <w:rsid w:val="000237F9"/>
    <w:rsid w:val="000239B6"/>
    <w:rsid w:val="000239FC"/>
    <w:rsid w:val="00023B5B"/>
    <w:rsid w:val="00024179"/>
    <w:rsid w:val="00024494"/>
    <w:rsid w:val="000246F5"/>
    <w:rsid w:val="0002508F"/>
    <w:rsid w:val="00025A5A"/>
    <w:rsid w:val="00025E62"/>
    <w:rsid w:val="000260E0"/>
    <w:rsid w:val="0002696F"/>
    <w:rsid w:val="00026EEE"/>
    <w:rsid w:val="0003034E"/>
    <w:rsid w:val="0003038A"/>
    <w:rsid w:val="0003098D"/>
    <w:rsid w:val="00030C61"/>
    <w:rsid w:val="0003191D"/>
    <w:rsid w:val="00031F60"/>
    <w:rsid w:val="000321E2"/>
    <w:rsid w:val="00033B51"/>
    <w:rsid w:val="0003435F"/>
    <w:rsid w:val="00034616"/>
    <w:rsid w:val="000348F9"/>
    <w:rsid w:val="000349C7"/>
    <w:rsid w:val="0003563C"/>
    <w:rsid w:val="00035CFD"/>
    <w:rsid w:val="00035D66"/>
    <w:rsid w:val="0003682A"/>
    <w:rsid w:val="00036F79"/>
    <w:rsid w:val="0003715B"/>
    <w:rsid w:val="000378FD"/>
    <w:rsid w:val="00037B55"/>
    <w:rsid w:val="0004062E"/>
    <w:rsid w:val="000408D3"/>
    <w:rsid w:val="00040D61"/>
    <w:rsid w:val="0004281C"/>
    <w:rsid w:val="00042D0D"/>
    <w:rsid w:val="00042D96"/>
    <w:rsid w:val="00042DE4"/>
    <w:rsid w:val="000431CA"/>
    <w:rsid w:val="00043724"/>
    <w:rsid w:val="000443A9"/>
    <w:rsid w:val="000443B4"/>
    <w:rsid w:val="000447CB"/>
    <w:rsid w:val="000459F7"/>
    <w:rsid w:val="00045F93"/>
    <w:rsid w:val="00046C6C"/>
    <w:rsid w:val="00047017"/>
    <w:rsid w:val="000470CA"/>
    <w:rsid w:val="0004755D"/>
    <w:rsid w:val="000501BE"/>
    <w:rsid w:val="00050266"/>
    <w:rsid w:val="00050781"/>
    <w:rsid w:val="00050851"/>
    <w:rsid w:val="000511C4"/>
    <w:rsid w:val="00051740"/>
    <w:rsid w:val="00051770"/>
    <w:rsid w:val="00052948"/>
    <w:rsid w:val="00052D86"/>
    <w:rsid w:val="00052E6A"/>
    <w:rsid w:val="0005390F"/>
    <w:rsid w:val="00053C7F"/>
    <w:rsid w:val="00053D73"/>
    <w:rsid w:val="00053F1D"/>
    <w:rsid w:val="00054021"/>
    <w:rsid w:val="00054295"/>
    <w:rsid w:val="000552D3"/>
    <w:rsid w:val="00055899"/>
    <w:rsid w:val="000566A3"/>
    <w:rsid w:val="00057529"/>
    <w:rsid w:val="0006033B"/>
    <w:rsid w:val="0006063C"/>
    <w:rsid w:val="00060C6E"/>
    <w:rsid w:val="00060EAE"/>
    <w:rsid w:val="00060FA6"/>
    <w:rsid w:val="00061855"/>
    <w:rsid w:val="00061906"/>
    <w:rsid w:val="00061D24"/>
    <w:rsid w:val="000630C8"/>
    <w:rsid w:val="000636AC"/>
    <w:rsid w:val="000638A1"/>
    <w:rsid w:val="00063F04"/>
    <w:rsid w:val="000643B3"/>
    <w:rsid w:val="000643D1"/>
    <w:rsid w:val="00065887"/>
    <w:rsid w:val="00065A29"/>
    <w:rsid w:val="00065CA8"/>
    <w:rsid w:val="0006651E"/>
    <w:rsid w:val="00067342"/>
    <w:rsid w:val="00067C62"/>
    <w:rsid w:val="000706FB"/>
    <w:rsid w:val="00070C6F"/>
    <w:rsid w:val="00070F06"/>
    <w:rsid w:val="00071096"/>
    <w:rsid w:val="0007153B"/>
    <w:rsid w:val="000728E1"/>
    <w:rsid w:val="00072F8A"/>
    <w:rsid w:val="00073A8F"/>
    <w:rsid w:val="00073DEC"/>
    <w:rsid w:val="000740FD"/>
    <w:rsid w:val="0007411E"/>
    <w:rsid w:val="000750B4"/>
    <w:rsid w:val="00075292"/>
    <w:rsid w:val="000756B9"/>
    <w:rsid w:val="00075B28"/>
    <w:rsid w:val="00076912"/>
    <w:rsid w:val="00076C87"/>
    <w:rsid w:val="000776C1"/>
    <w:rsid w:val="000777FF"/>
    <w:rsid w:val="00080094"/>
    <w:rsid w:val="00082003"/>
    <w:rsid w:val="00082350"/>
    <w:rsid w:val="000828A0"/>
    <w:rsid w:val="00083B8A"/>
    <w:rsid w:val="00083B8B"/>
    <w:rsid w:val="00083C96"/>
    <w:rsid w:val="00083CE1"/>
    <w:rsid w:val="00083F8E"/>
    <w:rsid w:val="000844C3"/>
    <w:rsid w:val="00084EE9"/>
    <w:rsid w:val="000853D9"/>
    <w:rsid w:val="00085417"/>
    <w:rsid w:val="000854E5"/>
    <w:rsid w:val="00085A40"/>
    <w:rsid w:val="00086131"/>
    <w:rsid w:val="00086287"/>
    <w:rsid w:val="00086340"/>
    <w:rsid w:val="000865D1"/>
    <w:rsid w:val="0008684C"/>
    <w:rsid w:val="00086E5C"/>
    <w:rsid w:val="000870E0"/>
    <w:rsid w:val="0008738B"/>
    <w:rsid w:val="0009016E"/>
    <w:rsid w:val="0009190C"/>
    <w:rsid w:val="000921BA"/>
    <w:rsid w:val="00093102"/>
    <w:rsid w:val="00093670"/>
    <w:rsid w:val="000939CE"/>
    <w:rsid w:val="0009450A"/>
    <w:rsid w:val="00094530"/>
    <w:rsid w:val="00094B25"/>
    <w:rsid w:val="00094E77"/>
    <w:rsid w:val="000952F5"/>
    <w:rsid w:val="00095770"/>
    <w:rsid w:val="0009588D"/>
    <w:rsid w:val="000966EA"/>
    <w:rsid w:val="00096BCB"/>
    <w:rsid w:val="00096CE7"/>
    <w:rsid w:val="00096D62"/>
    <w:rsid w:val="00096D86"/>
    <w:rsid w:val="00096E82"/>
    <w:rsid w:val="000971BE"/>
    <w:rsid w:val="0009747A"/>
    <w:rsid w:val="000974AC"/>
    <w:rsid w:val="000977C2"/>
    <w:rsid w:val="00097C93"/>
    <w:rsid w:val="00097F64"/>
    <w:rsid w:val="00097FCD"/>
    <w:rsid w:val="000A0C05"/>
    <w:rsid w:val="000A0E10"/>
    <w:rsid w:val="000A1770"/>
    <w:rsid w:val="000A1CC3"/>
    <w:rsid w:val="000A2789"/>
    <w:rsid w:val="000A2B0D"/>
    <w:rsid w:val="000A4405"/>
    <w:rsid w:val="000A5466"/>
    <w:rsid w:val="000A5D31"/>
    <w:rsid w:val="000A5DCE"/>
    <w:rsid w:val="000A6929"/>
    <w:rsid w:val="000A72EC"/>
    <w:rsid w:val="000B01E6"/>
    <w:rsid w:val="000B0486"/>
    <w:rsid w:val="000B1B2E"/>
    <w:rsid w:val="000B247D"/>
    <w:rsid w:val="000B2A84"/>
    <w:rsid w:val="000B301E"/>
    <w:rsid w:val="000B37D4"/>
    <w:rsid w:val="000B4623"/>
    <w:rsid w:val="000B4784"/>
    <w:rsid w:val="000B49FA"/>
    <w:rsid w:val="000B5D9C"/>
    <w:rsid w:val="000B7188"/>
    <w:rsid w:val="000B76F5"/>
    <w:rsid w:val="000C0C7A"/>
    <w:rsid w:val="000C0FCC"/>
    <w:rsid w:val="000C1880"/>
    <w:rsid w:val="000C20EB"/>
    <w:rsid w:val="000C2E92"/>
    <w:rsid w:val="000C33BB"/>
    <w:rsid w:val="000C36DA"/>
    <w:rsid w:val="000C3BCD"/>
    <w:rsid w:val="000C4313"/>
    <w:rsid w:val="000C4D39"/>
    <w:rsid w:val="000C5340"/>
    <w:rsid w:val="000C5391"/>
    <w:rsid w:val="000C5580"/>
    <w:rsid w:val="000C5CB2"/>
    <w:rsid w:val="000C5FB6"/>
    <w:rsid w:val="000C75D3"/>
    <w:rsid w:val="000C7632"/>
    <w:rsid w:val="000C773A"/>
    <w:rsid w:val="000C7974"/>
    <w:rsid w:val="000D0428"/>
    <w:rsid w:val="000D16C1"/>
    <w:rsid w:val="000D1A3A"/>
    <w:rsid w:val="000D1F86"/>
    <w:rsid w:val="000D209E"/>
    <w:rsid w:val="000D21F3"/>
    <w:rsid w:val="000D22FF"/>
    <w:rsid w:val="000D2E8C"/>
    <w:rsid w:val="000D3BAB"/>
    <w:rsid w:val="000D3D22"/>
    <w:rsid w:val="000D4456"/>
    <w:rsid w:val="000D54B8"/>
    <w:rsid w:val="000D587E"/>
    <w:rsid w:val="000D5883"/>
    <w:rsid w:val="000D5A43"/>
    <w:rsid w:val="000D641A"/>
    <w:rsid w:val="000D6476"/>
    <w:rsid w:val="000D6926"/>
    <w:rsid w:val="000D71ED"/>
    <w:rsid w:val="000D7625"/>
    <w:rsid w:val="000D7962"/>
    <w:rsid w:val="000D7DFE"/>
    <w:rsid w:val="000E0160"/>
    <w:rsid w:val="000E0302"/>
    <w:rsid w:val="000E0976"/>
    <w:rsid w:val="000E0CD2"/>
    <w:rsid w:val="000E1621"/>
    <w:rsid w:val="000E1DA0"/>
    <w:rsid w:val="000E1E1E"/>
    <w:rsid w:val="000E28ED"/>
    <w:rsid w:val="000E3036"/>
    <w:rsid w:val="000E304F"/>
    <w:rsid w:val="000E3427"/>
    <w:rsid w:val="000E379F"/>
    <w:rsid w:val="000E386C"/>
    <w:rsid w:val="000E3C5D"/>
    <w:rsid w:val="000E4D79"/>
    <w:rsid w:val="000E51B1"/>
    <w:rsid w:val="000E51C8"/>
    <w:rsid w:val="000E51DA"/>
    <w:rsid w:val="000E5705"/>
    <w:rsid w:val="000E5724"/>
    <w:rsid w:val="000E5972"/>
    <w:rsid w:val="000E7AA0"/>
    <w:rsid w:val="000E7E08"/>
    <w:rsid w:val="000E7EBA"/>
    <w:rsid w:val="000E7FE1"/>
    <w:rsid w:val="000F0540"/>
    <w:rsid w:val="000F09D0"/>
    <w:rsid w:val="000F0E7B"/>
    <w:rsid w:val="000F18B8"/>
    <w:rsid w:val="000F1D6E"/>
    <w:rsid w:val="000F1F02"/>
    <w:rsid w:val="000F1F18"/>
    <w:rsid w:val="000F22A1"/>
    <w:rsid w:val="000F356D"/>
    <w:rsid w:val="000F3C6F"/>
    <w:rsid w:val="000F4413"/>
    <w:rsid w:val="000F4569"/>
    <w:rsid w:val="000F4C44"/>
    <w:rsid w:val="000F4CD6"/>
    <w:rsid w:val="000F4D9D"/>
    <w:rsid w:val="000F52F5"/>
    <w:rsid w:val="000F586D"/>
    <w:rsid w:val="000F5ADA"/>
    <w:rsid w:val="000F61C4"/>
    <w:rsid w:val="000F6363"/>
    <w:rsid w:val="000F66F3"/>
    <w:rsid w:val="000F6A7A"/>
    <w:rsid w:val="000F6C86"/>
    <w:rsid w:val="000F754D"/>
    <w:rsid w:val="000F781D"/>
    <w:rsid w:val="000F78B1"/>
    <w:rsid w:val="000F7B83"/>
    <w:rsid w:val="000F7C10"/>
    <w:rsid w:val="0010079D"/>
    <w:rsid w:val="00100AEE"/>
    <w:rsid w:val="00100FFB"/>
    <w:rsid w:val="0010187B"/>
    <w:rsid w:val="00101A30"/>
    <w:rsid w:val="00102620"/>
    <w:rsid w:val="00102A0C"/>
    <w:rsid w:val="001031C8"/>
    <w:rsid w:val="00103535"/>
    <w:rsid w:val="001036CA"/>
    <w:rsid w:val="00104131"/>
    <w:rsid w:val="00105948"/>
    <w:rsid w:val="001063F2"/>
    <w:rsid w:val="001064FC"/>
    <w:rsid w:val="00106EDA"/>
    <w:rsid w:val="00107283"/>
    <w:rsid w:val="00110CB4"/>
    <w:rsid w:val="001114F8"/>
    <w:rsid w:val="0011180E"/>
    <w:rsid w:val="0011239E"/>
    <w:rsid w:val="001123C7"/>
    <w:rsid w:val="0011301C"/>
    <w:rsid w:val="001138B3"/>
    <w:rsid w:val="00113BC4"/>
    <w:rsid w:val="00113CDA"/>
    <w:rsid w:val="00113D55"/>
    <w:rsid w:val="00114F95"/>
    <w:rsid w:val="001153FD"/>
    <w:rsid w:val="00115664"/>
    <w:rsid w:val="00115ADC"/>
    <w:rsid w:val="001162F6"/>
    <w:rsid w:val="00116A86"/>
    <w:rsid w:val="001173CB"/>
    <w:rsid w:val="001174E5"/>
    <w:rsid w:val="00120289"/>
    <w:rsid w:val="0012154F"/>
    <w:rsid w:val="00122145"/>
    <w:rsid w:val="001224C9"/>
    <w:rsid w:val="0012255D"/>
    <w:rsid w:val="001233C9"/>
    <w:rsid w:val="00123BDC"/>
    <w:rsid w:val="00124248"/>
    <w:rsid w:val="00124BE7"/>
    <w:rsid w:val="00124C07"/>
    <w:rsid w:val="0012511E"/>
    <w:rsid w:val="001255D2"/>
    <w:rsid w:val="0012566F"/>
    <w:rsid w:val="00125A4A"/>
    <w:rsid w:val="00125A7C"/>
    <w:rsid w:val="0012693E"/>
    <w:rsid w:val="00126B05"/>
    <w:rsid w:val="00126B75"/>
    <w:rsid w:val="0012797A"/>
    <w:rsid w:val="00127CAB"/>
    <w:rsid w:val="00130B28"/>
    <w:rsid w:val="00131017"/>
    <w:rsid w:val="001310E3"/>
    <w:rsid w:val="00131144"/>
    <w:rsid w:val="0013136D"/>
    <w:rsid w:val="0013203B"/>
    <w:rsid w:val="001327B5"/>
    <w:rsid w:val="00132973"/>
    <w:rsid w:val="00132DB7"/>
    <w:rsid w:val="0013327C"/>
    <w:rsid w:val="001333EF"/>
    <w:rsid w:val="0013395E"/>
    <w:rsid w:val="00133A01"/>
    <w:rsid w:val="00133C2D"/>
    <w:rsid w:val="001340A0"/>
    <w:rsid w:val="001345C6"/>
    <w:rsid w:val="00134B95"/>
    <w:rsid w:val="001354C8"/>
    <w:rsid w:val="00135D20"/>
    <w:rsid w:val="001378B7"/>
    <w:rsid w:val="00137B0E"/>
    <w:rsid w:val="00137D9E"/>
    <w:rsid w:val="00140132"/>
    <w:rsid w:val="001413EC"/>
    <w:rsid w:val="0014179B"/>
    <w:rsid w:val="00142134"/>
    <w:rsid w:val="001423B4"/>
    <w:rsid w:val="00142472"/>
    <w:rsid w:val="001424E8"/>
    <w:rsid w:val="0014284D"/>
    <w:rsid w:val="00142A0F"/>
    <w:rsid w:val="0014315D"/>
    <w:rsid w:val="001433F2"/>
    <w:rsid w:val="00143960"/>
    <w:rsid w:val="0014396E"/>
    <w:rsid w:val="001446AD"/>
    <w:rsid w:val="00144B73"/>
    <w:rsid w:val="00145E38"/>
    <w:rsid w:val="001460F7"/>
    <w:rsid w:val="0014654E"/>
    <w:rsid w:val="00146AAF"/>
    <w:rsid w:val="00146F87"/>
    <w:rsid w:val="001474E1"/>
    <w:rsid w:val="00150364"/>
    <w:rsid w:val="0015074B"/>
    <w:rsid w:val="00150CA2"/>
    <w:rsid w:val="001520D5"/>
    <w:rsid w:val="00152277"/>
    <w:rsid w:val="001522C8"/>
    <w:rsid w:val="00152E92"/>
    <w:rsid w:val="00153A6E"/>
    <w:rsid w:val="00153F26"/>
    <w:rsid w:val="001540C8"/>
    <w:rsid w:val="0015412A"/>
    <w:rsid w:val="001548D5"/>
    <w:rsid w:val="00154AEC"/>
    <w:rsid w:val="001568C2"/>
    <w:rsid w:val="00156B89"/>
    <w:rsid w:val="00157034"/>
    <w:rsid w:val="0015772C"/>
    <w:rsid w:val="001577F7"/>
    <w:rsid w:val="00157C7F"/>
    <w:rsid w:val="00157E25"/>
    <w:rsid w:val="00160188"/>
    <w:rsid w:val="0016036C"/>
    <w:rsid w:val="00160F94"/>
    <w:rsid w:val="001621C3"/>
    <w:rsid w:val="001630B0"/>
    <w:rsid w:val="00163B65"/>
    <w:rsid w:val="00164607"/>
    <w:rsid w:val="001656D7"/>
    <w:rsid w:val="00165787"/>
    <w:rsid w:val="00166833"/>
    <w:rsid w:val="00166B8A"/>
    <w:rsid w:val="00166EA0"/>
    <w:rsid w:val="0016707A"/>
    <w:rsid w:val="0016747C"/>
    <w:rsid w:val="001674F5"/>
    <w:rsid w:val="00167FE6"/>
    <w:rsid w:val="00170081"/>
    <w:rsid w:val="001702A0"/>
    <w:rsid w:val="001702E0"/>
    <w:rsid w:val="00170ACE"/>
    <w:rsid w:val="00170E21"/>
    <w:rsid w:val="00171359"/>
    <w:rsid w:val="0017226D"/>
    <w:rsid w:val="0017287D"/>
    <w:rsid w:val="001729CE"/>
    <w:rsid w:val="00172F9C"/>
    <w:rsid w:val="001748F4"/>
    <w:rsid w:val="00174A9F"/>
    <w:rsid w:val="00174C65"/>
    <w:rsid w:val="001759E2"/>
    <w:rsid w:val="00176258"/>
    <w:rsid w:val="001766B5"/>
    <w:rsid w:val="00176F88"/>
    <w:rsid w:val="00177826"/>
    <w:rsid w:val="0018003F"/>
    <w:rsid w:val="00180375"/>
    <w:rsid w:val="00180378"/>
    <w:rsid w:val="001807B7"/>
    <w:rsid w:val="00180903"/>
    <w:rsid w:val="00181645"/>
    <w:rsid w:val="001842D9"/>
    <w:rsid w:val="00184B61"/>
    <w:rsid w:val="00184CC5"/>
    <w:rsid w:val="00184F19"/>
    <w:rsid w:val="00185C50"/>
    <w:rsid w:val="00185EC1"/>
    <w:rsid w:val="00186F25"/>
    <w:rsid w:val="001871D3"/>
    <w:rsid w:val="00187A34"/>
    <w:rsid w:val="00190FE0"/>
    <w:rsid w:val="001913EB"/>
    <w:rsid w:val="0019159D"/>
    <w:rsid w:val="0019205B"/>
    <w:rsid w:val="00192865"/>
    <w:rsid w:val="00192C81"/>
    <w:rsid w:val="0019418D"/>
    <w:rsid w:val="00194AA9"/>
    <w:rsid w:val="0019516D"/>
    <w:rsid w:val="001951AF"/>
    <w:rsid w:val="00195899"/>
    <w:rsid w:val="00195D8E"/>
    <w:rsid w:val="001965F2"/>
    <w:rsid w:val="00197545"/>
    <w:rsid w:val="00197BE7"/>
    <w:rsid w:val="001A014E"/>
    <w:rsid w:val="001A0252"/>
    <w:rsid w:val="001A16EA"/>
    <w:rsid w:val="001A1709"/>
    <w:rsid w:val="001A199B"/>
    <w:rsid w:val="001A1A2D"/>
    <w:rsid w:val="001A21BA"/>
    <w:rsid w:val="001A23BD"/>
    <w:rsid w:val="001A2B61"/>
    <w:rsid w:val="001A333E"/>
    <w:rsid w:val="001A3497"/>
    <w:rsid w:val="001A4296"/>
    <w:rsid w:val="001A45EE"/>
    <w:rsid w:val="001A4F62"/>
    <w:rsid w:val="001A6944"/>
    <w:rsid w:val="001A698D"/>
    <w:rsid w:val="001A6D27"/>
    <w:rsid w:val="001A6D33"/>
    <w:rsid w:val="001A725F"/>
    <w:rsid w:val="001A78EB"/>
    <w:rsid w:val="001B0EAA"/>
    <w:rsid w:val="001B0EBD"/>
    <w:rsid w:val="001B1358"/>
    <w:rsid w:val="001B1A57"/>
    <w:rsid w:val="001B272E"/>
    <w:rsid w:val="001B29D5"/>
    <w:rsid w:val="001B375C"/>
    <w:rsid w:val="001B3EDB"/>
    <w:rsid w:val="001B41B8"/>
    <w:rsid w:val="001B41C7"/>
    <w:rsid w:val="001B47D6"/>
    <w:rsid w:val="001B484D"/>
    <w:rsid w:val="001B4891"/>
    <w:rsid w:val="001B49FF"/>
    <w:rsid w:val="001B4A73"/>
    <w:rsid w:val="001B57B0"/>
    <w:rsid w:val="001B5847"/>
    <w:rsid w:val="001B69CA"/>
    <w:rsid w:val="001B6BD7"/>
    <w:rsid w:val="001B783A"/>
    <w:rsid w:val="001B7C0C"/>
    <w:rsid w:val="001C059F"/>
    <w:rsid w:val="001C05FF"/>
    <w:rsid w:val="001C0922"/>
    <w:rsid w:val="001C0CA4"/>
    <w:rsid w:val="001C1037"/>
    <w:rsid w:val="001C10AB"/>
    <w:rsid w:val="001C142E"/>
    <w:rsid w:val="001C1693"/>
    <w:rsid w:val="001C18D9"/>
    <w:rsid w:val="001C2074"/>
    <w:rsid w:val="001C2950"/>
    <w:rsid w:val="001C2964"/>
    <w:rsid w:val="001C2F82"/>
    <w:rsid w:val="001C2FDE"/>
    <w:rsid w:val="001C31E2"/>
    <w:rsid w:val="001C3208"/>
    <w:rsid w:val="001C38CB"/>
    <w:rsid w:val="001C3B59"/>
    <w:rsid w:val="001C3C38"/>
    <w:rsid w:val="001C3CAF"/>
    <w:rsid w:val="001C4097"/>
    <w:rsid w:val="001C41FE"/>
    <w:rsid w:val="001C45A6"/>
    <w:rsid w:val="001C4A0B"/>
    <w:rsid w:val="001C4C06"/>
    <w:rsid w:val="001C50B5"/>
    <w:rsid w:val="001C59C7"/>
    <w:rsid w:val="001C612D"/>
    <w:rsid w:val="001C65AD"/>
    <w:rsid w:val="001C6DE0"/>
    <w:rsid w:val="001C6F9A"/>
    <w:rsid w:val="001C6FA0"/>
    <w:rsid w:val="001C717B"/>
    <w:rsid w:val="001C72BD"/>
    <w:rsid w:val="001C74C6"/>
    <w:rsid w:val="001C7DEA"/>
    <w:rsid w:val="001D0358"/>
    <w:rsid w:val="001D14F9"/>
    <w:rsid w:val="001D1861"/>
    <w:rsid w:val="001D1BC8"/>
    <w:rsid w:val="001D2C3E"/>
    <w:rsid w:val="001D388C"/>
    <w:rsid w:val="001D3FD4"/>
    <w:rsid w:val="001D5A96"/>
    <w:rsid w:val="001D7119"/>
    <w:rsid w:val="001D72C5"/>
    <w:rsid w:val="001E0194"/>
    <w:rsid w:val="001E0C2D"/>
    <w:rsid w:val="001E0DDC"/>
    <w:rsid w:val="001E1E8A"/>
    <w:rsid w:val="001E1F89"/>
    <w:rsid w:val="001E231A"/>
    <w:rsid w:val="001E24BF"/>
    <w:rsid w:val="001E3485"/>
    <w:rsid w:val="001E4297"/>
    <w:rsid w:val="001E4419"/>
    <w:rsid w:val="001E5151"/>
    <w:rsid w:val="001E55DC"/>
    <w:rsid w:val="001E69C7"/>
    <w:rsid w:val="001E705B"/>
    <w:rsid w:val="001E79CA"/>
    <w:rsid w:val="001E7B14"/>
    <w:rsid w:val="001E7B72"/>
    <w:rsid w:val="001F00DD"/>
    <w:rsid w:val="001F01EA"/>
    <w:rsid w:val="001F0A3E"/>
    <w:rsid w:val="001F0B0B"/>
    <w:rsid w:val="001F20A8"/>
    <w:rsid w:val="001F227E"/>
    <w:rsid w:val="001F251A"/>
    <w:rsid w:val="001F261F"/>
    <w:rsid w:val="001F2E31"/>
    <w:rsid w:val="001F3348"/>
    <w:rsid w:val="001F3688"/>
    <w:rsid w:val="001F425F"/>
    <w:rsid w:val="001F4328"/>
    <w:rsid w:val="001F4BDA"/>
    <w:rsid w:val="001F4C1E"/>
    <w:rsid w:val="001F4C60"/>
    <w:rsid w:val="001F5305"/>
    <w:rsid w:val="001F569B"/>
    <w:rsid w:val="001F5712"/>
    <w:rsid w:val="001F58FA"/>
    <w:rsid w:val="001F59B3"/>
    <w:rsid w:val="001F5A95"/>
    <w:rsid w:val="001F7CF5"/>
    <w:rsid w:val="001F7E6D"/>
    <w:rsid w:val="0020055F"/>
    <w:rsid w:val="00200A3A"/>
    <w:rsid w:val="00200EFF"/>
    <w:rsid w:val="00200F41"/>
    <w:rsid w:val="00201210"/>
    <w:rsid w:val="002018B8"/>
    <w:rsid w:val="00202712"/>
    <w:rsid w:val="00202B3F"/>
    <w:rsid w:val="00203357"/>
    <w:rsid w:val="002033B5"/>
    <w:rsid w:val="00204410"/>
    <w:rsid w:val="00204886"/>
    <w:rsid w:val="00204F1A"/>
    <w:rsid w:val="0020507D"/>
    <w:rsid w:val="0020672D"/>
    <w:rsid w:val="00207C4D"/>
    <w:rsid w:val="00210397"/>
    <w:rsid w:val="00210947"/>
    <w:rsid w:val="00210E43"/>
    <w:rsid w:val="0021101F"/>
    <w:rsid w:val="002115D2"/>
    <w:rsid w:val="0021190B"/>
    <w:rsid w:val="002124B5"/>
    <w:rsid w:val="00212A41"/>
    <w:rsid w:val="0021343B"/>
    <w:rsid w:val="002145C7"/>
    <w:rsid w:val="00214845"/>
    <w:rsid w:val="00214BF8"/>
    <w:rsid w:val="002152DA"/>
    <w:rsid w:val="00215E6F"/>
    <w:rsid w:val="002165B4"/>
    <w:rsid w:val="00216915"/>
    <w:rsid w:val="00216A89"/>
    <w:rsid w:val="00216FDC"/>
    <w:rsid w:val="00217024"/>
    <w:rsid w:val="00217323"/>
    <w:rsid w:val="0021796C"/>
    <w:rsid w:val="00217CAA"/>
    <w:rsid w:val="00220580"/>
    <w:rsid w:val="0022087C"/>
    <w:rsid w:val="00220884"/>
    <w:rsid w:val="002209E1"/>
    <w:rsid w:val="002216D5"/>
    <w:rsid w:val="002220E7"/>
    <w:rsid w:val="002223F9"/>
    <w:rsid w:val="00222CFA"/>
    <w:rsid w:val="002232DE"/>
    <w:rsid w:val="00223450"/>
    <w:rsid w:val="002236B8"/>
    <w:rsid w:val="00223B4A"/>
    <w:rsid w:val="00223D16"/>
    <w:rsid w:val="00224069"/>
    <w:rsid w:val="002246CC"/>
    <w:rsid w:val="00224794"/>
    <w:rsid w:val="00224853"/>
    <w:rsid w:val="00226DEB"/>
    <w:rsid w:val="00230649"/>
    <w:rsid w:val="00230FA9"/>
    <w:rsid w:val="00231932"/>
    <w:rsid w:val="002319D1"/>
    <w:rsid w:val="00231A73"/>
    <w:rsid w:val="0023202A"/>
    <w:rsid w:val="002320CC"/>
    <w:rsid w:val="00232536"/>
    <w:rsid w:val="0023284F"/>
    <w:rsid w:val="00232AEE"/>
    <w:rsid w:val="00232B21"/>
    <w:rsid w:val="00233C5B"/>
    <w:rsid w:val="00234571"/>
    <w:rsid w:val="0023526E"/>
    <w:rsid w:val="0023595A"/>
    <w:rsid w:val="00235D5D"/>
    <w:rsid w:val="00235DBC"/>
    <w:rsid w:val="00236939"/>
    <w:rsid w:val="0023697C"/>
    <w:rsid w:val="00236F44"/>
    <w:rsid w:val="00237172"/>
    <w:rsid w:val="00237F73"/>
    <w:rsid w:val="00240CBA"/>
    <w:rsid w:val="00240CBD"/>
    <w:rsid w:val="002415E7"/>
    <w:rsid w:val="00241784"/>
    <w:rsid w:val="002422F1"/>
    <w:rsid w:val="00242704"/>
    <w:rsid w:val="00242B81"/>
    <w:rsid w:val="00242CDB"/>
    <w:rsid w:val="00243668"/>
    <w:rsid w:val="0024367D"/>
    <w:rsid w:val="002436C6"/>
    <w:rsid w:val="00243777"/>
    <w:rsid w:val="002438AD"/>
    <w:rsid w:val="00243A81"/>
    <w:rsid w:val="00243D82"/>
    <w:rsid w:val="00244056"/>
    <w:rsid w:val="002440AB"/>
    <w:rsid w:val="002444E9"/>
    <w:rsid w:val="0024482D"/>
    <w:rsid w:val="002449A0"/>
    <w:rsid w:val="00245034"/>
    <w:rsid w:val="002455D0"/>
    <w:rsid w:val="0024622C"/>
    <w:rsid w:val="0024747C"/>
    <w:rsid w:val="002477F3"/>
    <w:rsid w:val="00247FA3"/>
    <w:rsid w:val="002502E9"/>
    <w:rsid w:val="00251541"/>
    <w:rsid w:val="002519E6"/>
    <w:rsid w:val="00251C23"/>
    <w:rsid w:val="002529EE"/>
    <w:rsid w:val="00253247"/>
    <w:rsid w:val="00253C3F"/>
    <w:rsid w:val="00253D1A"/>
    <w:rsid w:val="00253DDE"/>
    <w:rsid w:val="00254D97"/>
    <w:rsid w:val="00255329"/>
    <w:rsid w:val="00255891"/>
    <w:rsid w:val="00255F4B"/>
    <w:rsid w:val="00256382"/>
    <w:rsid w:val="00256645"/>
    <w:rsid w:val="002568DD"/>
    <w:rsid w:val="00257240"/>
    <w:rsid w:val="00257554"/>
    <w:rsid w:val="0026013B"/>
    <w:rsid w:val="0026059B"/>
    <w:rsid w:val="00260E12"/>
    <w:rsid w:val="00261130"/>
    <w:rsid w:val="00261AEF"/>
    <w:rsid w:val="00261FB6"/>
    <w:rsid w:val="00262C20"/>
    <w:rsid w:val="002636B5"/>
    <w:rsid w:val="00263B1D"/>
    <w:rsid w:val="00263E3C"/>
    <w:rsid w:val="00264063"/>
    <w:rsid w:val="0026450D"/>
    <w:rsid w:val="00264B5A"/>
    <w:rsid w:val="0026555A"/>
    <w:rsid w:val="00266F40"/>
    <w:rsid w:val="00267BE5"/>
    <w:rsid w:val="00270702"/>
    <w:rsid w:val="002710E9"/>
    <w:rsid w:val="002721A5"/>
    <w:rsid w:val="002723EE"/>
    <w:rsid w:val="00272448"/>
    <w:rsid w:val="00272BA9"/>
    <w:rsid w:val="00273AB1"/>
    <w:rsid w:val="00274DBC"/>
    <w:rsid w:val="00274EE4"/>
    <w:rsid w:val="00275051"/>
    <w:rsid w:val="00275109"/>
    <w:rsid w:val="00275634"/>
    <w:rsid w:val="00275AF4"/>
    <w:rsid w:val="002762AD"/>
    <w:rsid w:val="002765BD"/>
    <w:rsid w:val="00276E2D"/>
    <w:rsid w:val="00276EEE"/>
    <w:rsid w:val="00277C09"/>
    <w:rsid w:val="00280387"/>
    <w:rsid w:val="002813C3"/>
    <w:rsid w:val="00281DDC"/>
    <w:rsid w:val="002823BE"/>
    <w:rsid w:val="002829B0"/>
    <w:rsid w:val="002831C6"/>
    <w:rsid w:val="002832E1"/>
    <w:rsid w:val="00284698"/>
    <w:rsid w:val="00284F6E"/>
    <w:rsid w:val="00285573"/>
    <w:rsid w:val="00285893"/>
    <w:rsid w:val="002858FB"/>
    <w:rsid w:val="00285B35"/>
    <w:rsid w:val="00286239"/>
    <w:rsid w:val="00286707"/>
    <w:rsid w:val="00286A40"/>
    <w:rsid w:val="0028703E"/>
    <w:rsid w:val="002873C0"/>
    <w:rsid w:val="0028759E"/>
    <w:rsid w:val="00287D50"/>
    <w:rsid w:val="00287E4E"/>
    <w:rsid w:val="002902A3"/>
    <w:rsid w:val="0029031E"/>
    <w:rsid w:val="00290575"/>
    <w:rsid w:val="00291568"/>
    <w:rsid w:val="00291E2D"/>
    <w:rsid w:val="00292506"/>
    <w:rsid w:val="00292F77"/>
    <w:rsid w:val="002935AE"/>
    <w:rsid w:val="0029463F"/>
    <w:rsid w:val="00294892"/>
    <w:rsid w:val="002956DC"/>
    <w:rsid w:val="00295768"/>
    <w:rsid w:val="0029639D"/>
    <w:rsid w:val="0029676A"/>
    <w:rsid w:val="00296939"/>
    <w:rsid w:val="002969A0"/>
    <w:rsid w:val="00296CAE"/>
    <w:rsid w:val="00297DBE"/>
    <w:rsid w:val="00297F18"/>
    <w:rsid w:val="002A0102"/>
    <w:rsid w:val="002A0593"/>
    <w:rsid w:val="002A0FDC"/>
    <w:rsid w:val="002A1294"/>
    <w:rsid w:val="002A194F"/>
    <w:rsid w:val="002A1CF0"/>
    <w:rsid w:val="002A30B7"/>
    <w:rsid w:val="002A325D"/>
    <w:rsid w:val="002A36CB"/>
    <w:rsid w:val="002A482D"/>
    <w:rsid w:val="002A4B81"/>
    <w:rsid w:val="002A53A4"/>
    <w:rsid w:val="002A5617"/>
    <w:rsid w:val="002A569A"/>
    <w:rsid w:val="002A6494"/>
    <w:rsid w:val="002A7996"/>
    <w:rsid w:val="002B10B8"/>
    <w:rsid w:val="002B10BE"/>
    <w:rsid w:val="002B1292"/>
    <w:rsid w:val="002B12D6"/>
    <w:rsid w:val="002B152D"/>
    <w:rsid w:val="002B197F"/>
    <w:rsid w:val="002B1C2A"/>
    <w:rsid w:val="002B3240"/>
    <w:rsid w:val="002B3859"/>
    <w:rsid w:val="002B39E3"/>
    <w:rsid w:val="002B3C9C"/>
    <w:rsid w:val="002B3F1A"/>
    <w:rsid w:val="002B40D5"/>
    <w:rsid w:val="002B431A"/>
    <w:rsid w:val="002B5397"/>
    <w:rsid w:val="002B5423"/>
    <w:rsid w:val="002B6045"/>
    <w:rsid w:val="002B6462"/>
    <w:rsid w:val="002B65B4"/>
    <w:rsid w:val="002B6A52"/>
    <w:rsid w:val="002B6EA7"/>
    <w:rsid w:val="002B707A"/>
    <w:rsid w:val="002B70EB"/>
    <w:rsid w:val="002B71B1"/>
    <w:rsid w:val="002C0459"/>
    <w:rsid w:val="002C0E92"/>
    <w:rsid w:val="002C0FA8"/>
    <w:rsid w:val="002C2122"/>
    <w:rsid w:val="002C2A94"/>
    <w:rsid w:val="002C2D7C"/>
    <w:rsid w:val="002C3399"/>
    <w:rsid w:val="002C3442"/>
    <w:rsid w:val="002C34F2"/>
    <w:rsid w:val="002C35D6"/>
    <w:rsid w:val="002C3D03"/>
    <w:rsid w:val="002C4647"/>
    <w:rsid w:val="002C4A37"/>
    <w:rsid w:val="002C4F36"/>
    <w:rsid w:val="002C5772"/>
    <w:rsid w:val="002C5CB0"/>
    <w:rsid w:val="002C63F4"/>
    <w:rsid w:val="002C72C0"/>
    <w:rsid w:val="002D0138"/>
    <w:rsid w:val="002D02E1"/>
    <w:rsid w:val="002D0A5B"/>
    <w:rsid w:val="002D18B7"/>
    <w:rsid w:val="002D1DB8"/>
    <w:rsid w:val="002D2646"/>
    <w:rsid w:val="002D2D0C"/>
    <w:rsid w:val="002D2F9D"/>
    <w:rsid w:val="002D2FE5"/>
    <w:rsid w:val="002D34A6"/>
    <w:rsid w:val="002D35A1"/>
    <w:rsid w:val="002D3F38"/>
    <w:rsid w:val="002D3FE2"/>
    <w:rsid w:val="002D4039"/>
    <w:rsid w:val="002D424B"/>
    <w:rsid w:val="002D45B5"/>
    <w:rsid w:val="002D4707"/>
    <w:rsid w:val="002D4A4A"/>
    <w:rsid w:val="002D4B57"/>
    <w:rsid w:val="002D4B78"/>
    <w:rsid w:val="002D4B7A"/>
    <w:rsid w:val="002D4C66"/>
    <w:rsid w:val="002D541B"/>
    <w:rsid w:val="002D5E49"/>
    <w:rsid w:val="002D5FA9"/>
    <w:rsid w:val="002D625D"/>
    <w:rsid w:val="002D6725"/>
    <w:rsid w:val="002D723B"/>
    <w:rsid w:val="002E06BA"/>
    <w:rsid w:val="002E0A2A"/>
    <w:rsid w:val="002E0FA0"/>
    <w:rsid w:val="002E162E"/>
    <w:rsid w:val="002E1D98"/>
    <w:rsid w:val="002E21FB"/>
    <w:rsid w:val="002E2523"/>
    <w:rsid w:val="002E26AB"/>
    <w:rsid w:val="002E2D95"/>
    <w:rsid w:val="002E326B"/>
    <w:rsid w:val="002E39DB"/>
    <w:rsid w:val="002E3A2D"/>
    <w:rsid w:val="002E4545"/>
    <w:rsid w:val="002E4572"/>
    <w:rsid w:val="002E53D4"/>
    <w:rsid w:val="002E555F"/>
    <w:rsid w:val="002E589C"/>
    <w:rsid w:val="002E5C8E"/>
    <w:rsid w:val="002E60D8"/>
    <w:rsid w:val="002E6308"/>
    <w:rsid w:val="002E64AB"/>
    <w:rsid w:val="002E65EF"/>
    <w:rsid w:val="002E6740"/>
    <w:rsid w:val="002E6E45"/>
    <w:rsid w:val="002E713B"/>
    <w:rsid w:val="002E7F2B"/>
    <w:rsid w:val="002F0919"/>
    <w:rsid w:val="002F0B36"/>
    <w:rsid w:val="002F0C99"/>
    <w:rsid w:val="002F0D8E"/>
    <w:rsid w:val="002F1694"/>
    <w:rsid w:val="002F18D3"/>
    <w:rsid w:val="002F190C"/>
    <w:rsid w:val="002F2AF2"/>
    <w:rsid w:val="002F2F19"/>
    <w:rsid w:val="002F491A"/>
    <w:rsid w:val="002F5915"/>
    <w:rsid w:val="002F5D39"/>
    <w:rsid w:val="002F5F71"/>
    <w:rsid w:val="002F631B"/>
    <w:rsid w:val="002F6745"/>
    <w:rsid w:val="002F6FE7"/>
    <w:rsid w:val="002F7140"/>
    <w:rsid w:val="002F758C"/>
    <w:rsid w:val="002F774C"/>
    <w:rsid w:val="002F7BFE"/>
    <w:rsid w:val="00300016"/>
    <w:rsid w:val="00301AFC"/>
    <w:rsid w:val="00301D8A"/>
    <w:rsid w:val="00302F89"/>
    <w:rsid w:val="003031CD"/>
    <w:rsid w:val="0030320A"/>
    <w:rsid w:val="00303393"/>
    <w:rsid w:val="003047C5"/>
    <w:rsid w:val="00305467"/>
    <w:rsid w:val="003054C2"/>
    <w:rsid w:val="003057BD"/>
    <w:rsid w:val="00305B0D"/>
    <w:rsid w:val="00305DD2"/>
    <w:rsid w:val="00306855"/>
    <w:rsid w:val="00306DC3"/>
    <w:rsid w:val="00307E1E"/>
    <w:rsid w:val="00307F48"/>
    <w:rsid w:val="00310654"/>
    <w:rsid w:val="003109F6"/>
    <w:rsid w:val="003122BC"/>
    <w:rsid w:val="003123DA"/>
    <w:rsid w:val="003127DD"/>
    <w:rsid w:val="00312861"/>
    <w:rsid w:val="00313310"/>
    <w:rsid w:val="00313406"/>
    <w:rsid w:val="00313703"/>
    <w:rsid w:val="0031375F"/>
    <w:rsid w:val="00313F6E"/>
    <w:rsid w:val="003141B6"/>
    <w:rsid w:val="0031460B"/>
    <w:rsid w:val="00314755"/>
    <w:rsid w:val="00314D23"/>
    <w:rsid w:val="0031509C"/>
    <w:rsid w:val="003158AB"/>
    <w:rsid w:val="00315C6A"/>
    <w:rsid w:val="00315F30"/>
    <w:rsid w:val="00316297"/>
    <w:rsid w:val="00316FC9"/>
    <w:rsid w:val="00316FE7"/>
    <w:rsid w:val="003171C0"/>
    <w:rsid w:val="0031732C"/>
    <w:rsid w:val="0031746F"/>
    <w:rsid w:val="0031758A"/>
    <w:rsid w:val="00317715"/>
    <w:rsid w:val="00317949"/>
    <w:rsid w:val="00317AAF"/>
    <w:rsid w:val="0032039B"/>
    <w:rsid w:val="00320980"/>
    <w:rsid w:val="00320B85"/>
    <w:rsid w:val="00321962"/>
    <w:rsid w:val="00321F9C"/>
    <w:rsid w:val="00322504"/>
    <w:rsid w:val="00322F5D"/>
    <w:rsid w:val="00323125"/>
    <w:rsid w:val="00323426"/>
    <w:rsid w:val="003238D4"/>
    <w:rsid w:val="00323C0A"/>
    <w:rsid w:val="00323DCB"/>
    <w:rsid w:val="003250F2"/>
    <w:rsid w:val="00325401"/>
    <w:rsid w:val="00325A04"/>
    <w:rsid w:val="00326B15"/>
    <w:rsid w:val="00326F90"/>
    <w:rsid w:val="00327406"/>
    <w:rsid w:val="003277CB"/>
    <w:rsid w:val="0032780D"/>
    <w:rsid w:val="00327A00"/>
    <w:rsid w:val="003300B9"/>
    <w:rsid w:val="0033018B"/>
    <w:rsid w:val="00330869"/>
    <w:rsid w:val="00330E78"/>
    <w:rsid w:val="0033156A"/>
    <w:rsid w:val="0033162B"/>
    <w:rsid w:val="00331C02"/>
    <w:rsid w:val="00331F5A"/>
    <w:rsid w:val="00332C03"/>
    <w:rsid w:val="00333C5B"/>
    <w:rsid w:val="00334483"/>
    <w:rsid w:val="00334529"/>
    <w:rsid w:val="00334584"/>
    <w:rsid w:val="0033467F"/>
    <w:rsid w:val="003346D4"/>
    <w:rsid w:val="0033585D"/>
    <w:rsid w:val="00336233"/>
    <w:rsid w:val="0033640E"/>
    <w:rsid w:val="00336612"/>
    <w:rsid w:val="00336BEF"/>
    <w:rsid w:val="00336E8E"/>
    <w:rsid w:val="00337BDA"/>
    <w:rsid w:val="00337D87"/>
    <w:rsid w:val="0034021C"/>
    <w:rsid w:val="00340360"/>
    <w:rsid w:val="003406E9"/>
    <w:rsid w:val="003407F2"/>
    <w:rsid w:val="00341000"/>
    <w:rsid w:val="0034176C"/>
    <w:rsid w:val="00341D91"/>
    <w:rsid w:val="00342A0A"/>
    <w:rsid w:val="00342FD8"/>
    <w:rsid w:val="00343465"/>
    <w:rsid w:val="00343649"/>
    <w:rsid w:val="00343FBA"/>
    <w:rsid w:val="00344073"/>
    <w:rsid w:val="00344342"/>
    <w:rsid w:val="003446F8"/>
    <w:rsid w:val="00344ACE"/>
    <w:rsid w:val="00345723"/>
    <w:rsid w:val="003460FA"/>
    <w:rsid w:val="00346191"/>
    <w:rsid w:val="003466F3"/>
    <w:rsid w:val="0034688E"/>
    <w:rsid w:val="003476B4"/>
    <w:rsid w:val="00347DFE"/>
    <w:rsid w:val="0035000A"/>
    <w:rsid w:val="003501B9"/>
    <w:rsid w:val="0035164C"/>
    <w:rsid w:val="0035199E"/>
    <w:rsid w:val="00351E79"/>
    <w:rsid w:val="00352963"/>
    <w:rsid w:val="003534EF"/>
    <w:rsid w:val="0035389D"/>
    <w:rsid w:val="00354110"/>
    <w:rsid w:val="0035415C"/>
    <w:rsid w:val="0035458D"/>
    <w:rsid w:val="00354F12"/>
    <w:rsid w:val="0035528F"/>
    <w:rsid w:val="003554FB"/>
    <w:rsid w:val="00355B7D"/>
    <w:rsid w:val="00355BB2"/>
    <w:rsid w:val="00356024"/>
    <w:rsid w:val="003561AB"/>
    <w:rsid w:val="003563B5"/>
    <w:rsid w:val="003566C3"/>
    <w:rsid w:val="0035673E"/>
    <w:rsid w:val="00357B91"/>
    <w:rsid w:val="00357DB3"/>
    <w:rsid w:val="0036015F"/>
    <w:rsid w:val="0036069D"/>
    <w:rsid w:val="00360E23"/>
    <w:rsid w:val="00361DAE"/>
    <w:rsid w:val="003621D4"/>
    <w:rsid w:val="00362F71"/>
    <w:rsid w:val="003635EC"/>
    <w:rsid w:val="003637B0"/>
    <w:rsid w:val="00363F66"/>
    <w:rsid w:val="00364100"/>
    <w:rsid w:val="003649E4"/>
    <w:rsid w:val="00364B4A"/>
    <w:rsid w:val="003654C9"/>
    <w:rsid w:val="00365C4A"/>
    <w:rsid w:val="00365D57"/>
    <w:rsid w:val="00366444"/>
    <w:rsid w:val="0036652E"/>
    <w:rsid w:val="00367228"/>
    <w:rsid w:val="00367426"/>
    <w:rsid w:val="00370144"/>
    <w:rsid w:val="0037072E"/>
    <w:rsid w:val="00370754"/>
    <w:rsid w:val="00370AAC"/>
    <w:rsid w:val="00370D77"/>
    <w:rsid w:val="00371A49"/>
    <w:rsid w:val="00371FB9"/>
    <w:rsid w:val="003720CD"/>
    <w:rsid w:val="003721B8"/>
    <w:rsid w:val="003721ED"/>
    <w:rsid w:val="00372516"/>
    <w:rsid w:val="00372652"/>
    <w:rsid w:val="00372A37"/>
    <w:rsid w:val="00372DF7"/>
    <w:rsid w:val="00373115"/>
    <w:rsid w:val="00373D91"/>
    <w:rsid w:val="00374619"/>
    <w:rsid w:val="00374BD5"/>
    <w:rsid w:val="0037530D"/>
    <w:rsid w:val="003761F1"/>
    <w:rsid w:val="0037685A"/>
    <w:rsid w:val="003769FF"/>
    <w:rsid w:val="00376C16"/>
    <w:rsid w:val="00377C00"/>
    <w:rsid w:val="00377F05"/>
    <w:rsid w:val="003809C4"/>
    <w:rsid w:val="003813EF"/>
    <w:rsid w:val="003817A6"/>
    <w:rsid w:val="00381C1E"/>
    <w:rsid w:val="0038202B"/>
    <w:rsid w:val="00382267"/>
    <w:rsid w:val="003825A2"/>
    <w:rsid w:val="00382EA6"/>
    <w:rsid w:val="00383123"/>
    <w:rsid w:val="003835E7"/>
    <w:rsid w:val="00384548"/>
    <w:rsid w:val="003860A1"/>
    <w:rsid w:val="003860D2"/>
    <w:rsid w:val="00386378"/>
    <w:rsid w:val="0038643A"/>
    <w:rsid w:val="003865A8"/>
    <w:rsid w:val="0038751B"/>
    <w:rsid w:val="0038799F"/>
    <w:rsid w:val="00387E79"/>
    <w:rsid w:val="00390CF1"/>
    <w:rsid w:val="00390EA1"/>
    <w:rsid w:val="00390F9A"/>
    <w:rsid w:val="0039153B"/>
    <w:rsid w:val="00391749"/>
    <w:rsid w:val="00391A6B"/>
    <w:rsid w:val="0039219C"/>
    <w:rsid w:val="003924B9"/>
    <w:rsid w:val="00392F3B"/>
    <w:rsid w:val="003930AA"/>
    <w:rsid w:val="003934DB"/>
    <w:rsid w:val="003937E9"/>
    <w:rsid w:val="0039399E"/>
    <w:rsid w:val="003941C6"/>
    <w:rsid w:val="00394EC2"/>
    <w:rsid w:val="0039552A"/>
    <w:rsid w:val="00395AE7"/>
    <w:rsid w:val="00396099"/>
    <w:rsid w:val="0039639B"/>
    <w:rsid w:val="00396C64"/>
    <w:rsid w:val="00397B1A"/>
    <w:rsid w:val="00397F6B"/>
    <w:rsid w:val="003A05FC"/>
    <w:rsid w:val="003A06C7"/>
    <w:rsid w:val="003A0C47"/>
    <w:rsid w:val="003A0C8A"/>
    <w:rsid w:val="003A145D"/>
    <w:rsid w:val="003A1500"/>
    <w:rsid w:val="003A18AE"/>
    <w:rsid w:val="003A1CA2"/>
    <w:rsid w:val="003A1E18"/>
    <w:rsid w:val="003A2904"/>
    <w:rsid w:val="003A2DE4"/>
    <w:rsid w:val="003A343A"/>
    <w:rsid w:val="003A406C"/>
    <w:rsid w:val="003A45D6"/>
    <w:rsid w:val="003A50A8"/>
    <w:rsid w:val="003A632D"/>
    <w:rsid w:val="003A6402"/>
    <w:rsid w:val="003A672E"/>
    <w:rsid w:val="003A78CC"/>
    <w:rsid w:val="003B07AF"/>
    <w:rsid w:val="003B097A"/>
    <w:rsid w:val="003B0BB7"/>
    <w:rsid w:val="003B15EB"/>
    <w:rsid w:val="003B19EF"/>
    <w:rsid w:val="003B2A84"/>
    <w:rsid w:val="003B2CCE"/>
    <w:rsid w:val="003B3150"/>
    <w:rsid w:val="003B345D"/>
    <w:rsid w:val="003B4991"/>
    <w:rsid w:val="003B4DBA"/>
    <w:rsid w:val="003B5AD3"/>
    <w:rsid w:val="003B6109"/>
    <w:rsid w:val="003B695A"/>
    <w:rsid w:val="003B7910"/>
    <w:rsid w:val="003C147B"/>
    <w:rsid w:val="003C2048"/>
    <w:rsid w:val="003C2A62"/>
    <w:rsid w:val="003C2C6A"/>
    <w:rsid w:val="003C2D66"/>
    <w:rsid w:val="003C31D9"/>
    <w:rsid w:val="003C4251"/>
    <w:rsid w:val="003C4467"/>
    <w:rsid w:val="003C4512"/>
    <w:rsid w:val="003C47A8"/>
    <w:rsid w:val="003C4FD2"/>
    <w:rsid w:val="003C509B"/>
    <w:rsid w:val="003C56D1"/>
    <w:rsid w:val="003C59D5"/>
    <w:rsid w:val="003C5F3B"/>
    <w:rsid w:val="003C6423"/>
    <w:rsid w:val="003C6F5A"/>
    <w:rsid w:val="003C788B"/>
    <w:rsid w:val="003C79EB"/>
    <w:rsid w:val="003C7C5F"/>
    <w:rsid w:val="003D002D"/>
    <w:rsid w:val="003D015D"/>
    <w:rsid w:val="003D0E34"/>
    <w:rsid w:val="003D15C1"/>
    <w:rsid w:val="003D15D2"/>
    <w:rsid w:val="003D1FE0"/>
    <w:rsid w:val="003D207F"/>
    <w:rsid w:val="003D34A1"/>
    <w:rsid w:val="003D3605"/>
    <w:rsid w:val="003D3676"/>
    <w:rsid w:val="003D3B59"/>
    <w:rsid w:val="003D3F48"/>
    <w:rsid w:val="003D41DD"/>
    <w:rsid w:val="003D44A6"/>
    <w:rsid w:val="003D4E75"/>
    <w:rsid w:val="003D4FDD"/>
    <w:rsid w:val="003D654A"/>
    <w:rsid w:val="003E0023"/>
    <w:rsid w:val="003E06C9"/>
    <w:rsid w:val="003E0F6C"/>
    <w:rsid w:val="003E18CB"/>
    <w:rsid w:val="003E18E8"/>
    <w:rsid w:val="003E1AC9"/>
    <w:rsid w:val="003E225A"/>
    <w:rsid w:val="003E251B"/>
    <w:rsid w:val="003E2B45"/>
    <w:rsid w:val="003E3059"/>
    <w:rsid w:val="003E37A5"/>
    <w:rsid w:val="003E4D7B"/>
    <w:rsid w:val="003E4F44"/>
    <w:rsid w:val="003E4FF8"/>
    <w:rsid w:val="003E5866"/>
    <w:rsid w:val="003E5AF8"/>
    <w:rsid w:val="003E6861"/>
    <w:rsid w:val="003E68D0"/>
    <w:rsid w:val="003E6B58"/>
    <w:rsid w:val="003E7BB5"/>
    <w:rsid w:val="003E7D2B"/>
    <w:rsid w:val="003E7F7B"/>
    <w:rsid w:val="003E7F87"/>
    <w:rsid w:val="003F1241"/>
    <w:rsid w:val="003F13EC"/>
    <w:rsid w:val="003F1F0E"/>
    <w:rsid w:val="003F3E93"/>
    <w:rsid w:val="003F43D6"/>
    <w:rsid w:val="003F5B56"/>
    <w:rsid w:val="003F6942"/>
    <w:rsid w:val="003F6C1A"/>
    <w:rsid w:val="003F6DC6"/>
    <w:rsid w:val="003F6DF0"/>
    <w:rsid w:val="003F70CC"/>
    <w:rsid w:val="003F7BEF"/>
    <w:rsid w:val="00400228"/>
    <w:rsid w:val="00400DB2"/>
    <w:rsid w:val="00400ED9"/>
    <w:rsid w:val="0040148D"/>
    <w:rsid w:val="00401F26"/>
    <w:rsid w:val="0040278B"/>
    <w:rsid w:val="00402C2C"/>
    <w:rsid w:val="004037D2"/>
    <w:rsid w:val="00403C3D"/>
    <w:rsid w:val="00404925"/>
    <w:rsid w:val="00404B90"/>
    <w:rsid w:val="00405022"/>
    <w:rsid w:val="00405B4C"/>
    <w:rsid w:val="004061F8"/>
    <w:rsid w:val="004067CE"/>
    <w:rsid w:val="0040692D"/>
    <w:rsid w:val="00406B37"/>
    <w:rsid w:val="004072BE"/>
    <w:rsid w:val="00407328"/>
    <w:rsid w:val="004078A3"/>
    <w:rsid w:val="00410693"/>
    <w:rsid w:val="0041098C"/>
    <w:rsid w:val="00410BBF"/>
    <w:rsid w:val="00410E50"/>
    <w:rsid w:val="00410F56"/>
    <w:rsid w:val="004113A2"/>
    <w:rsid w:val="00411AA1"/>
    <w:rsid w:val="00411E5A"/>
    <w:rsid w:val="00412247"/>
    <w:rsid w:val="004123A1"/>
    <w:rsid w:val="00412550"/>
    <w:rsid w:val="0041257F"/>
    <w:rsid w:val="00412F07"/>
    <w:rsid w:val="00412FB6"/>
    <w:rsid w:val="004133C1"/>
    <w:rsid w:val="00413633"/>
    <w:rsid w:val="00413A55"/>
    <w:rsid w:val="00413BF2"/>
    <w:rsid w:val="00414189"/>
    <w:rsid w:val="0041419E"/>
    <w:rsid w:val="00415054"/>
    <w:rsid w:val="00415533"/>
    <w:rsid w:val="004159FB"/>
    <w:rsid w:val="00415E41"/>
    <w:rsid w:val="00415EA9"/>
    <w:rsid w:val="00416E69"/>
    <w:rsid w:val="00417AD2"/>
    <w:rsid w:val="004201C3"/>
    <w:rsid w:val="00420D7C"/>
    <w:rsid w:val="00420DED"/>
    <w:rsid w:val="0042177A"/>
    <w:rsid w:val="0042186A"/>
    <w:rsid w:val="00421FA1"/>
    <w:rsid w:val="004226D4"/>
    <w:rsid w:val="00422829"/>
    <w:rsid w:val="00422DB9"/>
    <w:rsid w:val="00423A4D"/>
    <w:rsid w:val="00425442"/>
    <w:rsid w:val="00425C93"/>
    <w:rsid w:val="00425E80"/>
    <w:rsid w:val="004261FF"/>
    <w:rsid w:val="00426223"/>
    <w:rsid w:val="00427348"/>
    <w:rsid w:val="004279ED"/>
    <w:rsid w:val="00427A6C"/>
    <w:rsid w:val="00427C3A"/>
    <w:rsid w:val="004302BD"/>
    <w:rsid w:val="00430300"/>
    <w:rsid w:val="004319D4"/>
    <w:rsid w:val="00431DDC"/>
    <w:rsid w:val="00432D63"/>
    <w:rsid w:val="00433296"/>
    <w:rsid w:val="004333E5"/>
    <w:rsid w:val="0043378A"/>
    <w:rsid w:val="004346FD"/>
    <w:rsid w:val="004351C0"/>
    <w:rsid w:val="004353FA"/>
    <w:rsid w:val="00441716"/>
    <w:rsid w:val="00441902"/>
    <w:rsid w:val="00441A42"/>
    <w:rsid w:val="00442868"/>
    <w:rsid w:val="00442C32"/>
    <w:rsid w:val="0044390B"/>
    <w:rsid w:val="00443965"/>
    <w:rsid w:val="00443BCA"/>
    <w:rsid w:val="00443FC6"/>
    <w:rsid w:val="0044482B"/>
    <w:rsid w:val="00445535"/>
    <w:rsid w:val="00446594"/>
    <w:rsid w:val="0044677F"/>
    <w:rsid w:val="00446B6A"/>
    <w:rsid w:val="00446D74"/>
    <w:rsid w:val="004473B2"/>
    <w:rsid w:val="004473D4"/>
    <w:rsid w:val="00447C20"/>
    <w:rsid w:val="00450078"/>
    <w:rsid w:val="00451556"/>
    <w:rsid w:val="00451801"/>
    <w:rsid w:val="004519BE"/>
    <w:rsid w:val="00451EE4"/>
    <w:rsid w:val="00452022"/>
    <w:rsid w:val="004522B9"/>
    <w:rsid w:val="00452ABB"/>
    <w:rsid w:val="00453FA6"/>
    <w:rsid w:val="004542A3"/>
    <w:rsid w:val="004548E6"/>
    <w:rsid w:val="00454BDD"/>
    <w:rsid w:val="0045541A"/>
    <w:rsid w:val="004555D0"/>
    <w:rsid w:val="00455F0C"/>
    <w:rsid w:val="0045626F"/>
    <w:rsid w:val="004566B3"/>
    <w:rsid w:val="00456780"/>
    <w:rsid w:val="004569BE"/>
    <w:rsid w:val="00456F0A"/>
    <w:rsid w:val="00456F6F"/>
    <w:rsid w:val="004575E5"/>
    <w:rsid w:val="00460149"/>
    <w:rsid w:val="0046040A"/>
    <w:rsid w:val="0046054D"/>
    <w:rsid w:val="004606CF"/>
    <w:rsid w:val="00461B78"/>
    <w:rsid w:val="00461C7C"/>
    <w:rsid w:val="004620B1"/>
    <w:rsid w:val="00462F67"/>
    <w:rsid w:val="00463DB6"/>
    <w:rsid w:val="00465044"/>
    <w:rsid w:val="00465EFB"/>
    <w:rsid w:val="004662F1"/>
    <w:rsid w:val="0046672F"/>
    <w:rsid w:val="004674E3"/>
    <w:rsid w:val="00467660"/>
    <w:rsid w:val="0046789A"/>
    <w:rsid w:val="0046793C"/>
    <w:rsid w:val="00467981"/>
    <w:rsid w:val="00467D64"/>
    <w:rsid w:val="00467E80"/>
    <w:rsid w:val="00470C27"/>
    <w:rsid w:val="00471059"/>
    <w:rsid w:val="00471E0B"/>
    <w:rsid w:val="0047245A"/>
    <w:rsid w:val="00472B7E"/>
    <w:rsid w:val="00472C7D"/>
    <w:rsid w:val="00473724"/>
    <w:rsid w:val="00473921"/>
    <w:rsid w:val="004753F5"/>
    <w:rsid w:val="0047546B"/>
    <w:rsid w:val="00475540"/>
    <w:rsid w:val="004756F2"/>
    <w:rsid w:val="0047572B"/>
    <w:rsid w:val="004758A4"/>
    <w:rsid w:val="00475945"/>
    <w:rsid w:val="0047642E"/>
    <w:rsid w:val="00476754"/>
    <w:rsid w:val="00476CF7"/>
    <w:rsid w:val="00476FFB"/>
    <w:rsid w:val="00477833"/>
    <w:rsid w:val="00481AC6"/>
    <w:rsid w:val="00481D19"/>
    <w:rsid w:val="00482BB4"/>
    <w:rsid w:val="0048377E"/>
    <w:rsid w:val="0048402A"/>
    <w:rsid w:val="00484287"/>
    <w:rsid w:val="00484BA7"/>
    <w:rsid w:val="0048539C"/>
    <w:rsid w:val="004853B9"/>
    <w:rsid w:val="00485E71"/>
    <w:rsid w:val="00486571"/>
    <w:rsid w:val="00486772"/>
    <w:rsid w:val="0048685C"/>
    <w:rsid w:val="00486DFE"/>
    <w:rsid w:val="0048788F"/>
    <w:rsid w:val="004900DB"/>
    <w:rsid w:val="004902E5"/>
    <w:rsid w:val="00490683"/>
    <w:rsid w:val="00491666"/>
    <w:rsid w:val="00491DBD"/>
    <w:rsid w:val="0049246D"/>
    <w:rsid w:val="00492B9A"/>
    <w:rsid w:val="00493E12"/>
    <w:rsid w:val="00494D05"/>
    <w:rsid w:val="00495883"/>
    <w:rsid w:val="00495B59"/>
    <w:rsid w:val="00495E55"/>
    <w:rsid w:val="00496436"/>
    <w:rsid w:val="00496A67"/>
    <w:rsid w:val="00496F15"/>
    <w:rsid w:val="00496F85"/>
    <w:rsid w:val="0049712A"/>
    <w:rsid w:val="004974CD"/>
    <w:rsid w:val="004977F3"/>
    <w:rsid w:val="00497A1F"/>
    <w:rsid w:val="00497E8F"/>
    <w:rsid w:val="004A0023"/>
    <w:rsid w:val="004A00AD"/>
    <w:rsid w:val="004A0268"/>
    <w:rsid w:val="004A0EAE"/>
    <w:rsid w:val="004A17E5"/>
    <w:rsid w:val="004A2A51"/>
    <w:rsid w:val="004A3A8C"/>
    <w:rsid w:val="004A3C19"/>
    <w:rsid w:val="004A44F3"/>
    <w:rsid w:val="004A555A"/>
    <w:rsid w:val="004A5AEF"/>
    <w:rsid w:val="004A5EDA"/>
    <w:rsid w:val="004A609A"/>
    <w:rsid w:val="004A60E1"/>
    <w:rsid w:val="004A75B5"/>
    <w:rsid w:val="004B0199"/>
    <w:rsid w:val="004B051C"/>
    <w:rsid w:val="004B0D27"/>
    <w:rsid w:val="004B17C8"/>
    <w:rsid w:val="004B254B"/>
    <w:rsid w:val="004B2DD8"/>
    <w:rsid w:val="004B3692"/>
    <w:rsid w:val="004B3BF2"/>
    <w:rsid w:val="004B3D0D"/>
    <w:rsid w:val="004B43AB"/>
    <w:rsid w:val="004B4A4B"/>
    <w:rsid w:val="004B4A51"/>
    <w:rsid w:val="004B5756"/>
    <w:rsid w:val="004B5917"/>
    <w:rsid w:val="004B6264"/>
    <w:rsid w:val="004B634B"/>
    <w:rsid w:val="004B63D4"/>
    <w:rsid w:val="004B7A4D"/>
    <w:rsid w:val="004B7AA2"/>
    <w:rsid w:val="004B7E58"/>
    <w:rsid w:val="004C02CB"/>
    <w:rsid w:val="004C03FB"/>
    <w:rsid w:val="004C0A2B"/>
    <w:rsid w:val="004C0FED"/>
    <w:rsid w:val="004C15DF"/>
    <w:rsid w:val="004C17AA"/>
    <w:rsid w:val="004C194C"/>
    <w:rsid w:val="004C1B77"/>
    <w:rsid w:val="004C204D"/>
    <w:rsid w:val="004C2F97"/>
    <w:rsid w:val="004C3572"/>
    <w:rsid w:val="004C49C7"/>
    <w:rsid w:val="004C4E5E"/>
    <w:rsid w:val="004C57AB"/>
    <w:rsid w:val="004C585F"/>
    <w:rsid w:val="004C5B05"/>
    <w:rsid w:val="004C6678"/>
    <w:rsid w:val="004C6E68"/>
    <w:rsid w:val="004C7217"/>
    <w:rsid w:val="004D0602"/>
    <w:rsid w:val="004D066B"/>
    <w:rsid w:val="004D1718"/>
    <w:rsid w:val="004D1A70"/>
    <w:rsid w:val="004D1F80"/>
    <w:rsid w:val="004D32BC"/>
    <w:rsid w:val="004D36D9"/>
    <w:rsid w:val="004D3D61"/>
    <w:rsid w:val="004D40E2"/>
    <w:rsid w:val="004D4785"/>
    <w:rsid w:val="004D546A"/>
    <w:rsid w:val="004D586F"/>
    <w:rsid w:val="004D5A36"/>
    <w:rsid w:val="004D5BAC"/>
    <w:rsid w:val="004D6032"/>
    <w:rsid w:val="004D605E"/>
    <w:rsid w:val="004D6C51"/>
    <w:rsid w:val="004D7235"/>
    <w:rsid w:val="004D7B1B"/>
    <w:rsid w:val="004D7EAC"/>
    <w:rsid w:val="004E04A0"/>
    <w:rsid w:val="004E21D9"/>
    <w:rsid w:val="004E2304"/>
    <w:rsid w:val="004E259B"/>
    <w:rsid w:val="004E2A98"/>
    <w:rsid w:val="004E2E59"/>
    <w:rsid w:val="004E2F75"/>
    <w:rsid w:val="004E30A3"/>
    <w:rsid w:val="004E4685"/>
    <w:rsid w:val="004E580F"/>
    <w:rsid w:val="004E638E"/>
    <w:rsid w:val="004E6409"/>
    <w:rsid w:val="004E6499"/>
    <w:rsid w:val="004E6826"/>
    <w:rsid w:val="004E6BE7"/>
    <w:rsid w:val="004E6D0E"/>
    <w:rsid w:val="004F02B0"/>
    <w:rsid w:val="004F0371"/>
    <w:rsid w:val="004F1F02"/>
    <w:rsid w:val="004F29E8"/>
    <w:rsid w:val="004F2B91"/>
    <w:rsid w:val="004F2FBE"/>
    <w:rsid w:val="004F319F"/>
    <w:rsid w:val="004F4674"/>
    <w:rsid w:val="004F46D2"/>
    <w:rsid w:val="004F4949"/>
    <w:rsid w:val="004F51D0"/>
    <w:rsid w:val="004F5E23"/>
    <w:rsid w:val="004F6100"/>
    <w:rsid w:val="004F623A"/>
    <w:rsid w:val="004F6CA3"/>
    <w:rsid w:val="004F6EAC"/>
    <w:rsid w:val="004F71A3"/>
    <w:rsid w:val="0050017A"/>
    <w:rsid w:val="00500BC2"/>
    <w:rsid w:val="00502631"/>
    <w:rsid w:val="00502700"/>
    <w:rsid w:val="00502E44"/>
    <w:rsid w:val="00502F99"/>
    <w:rsid w:val="005041FA"/>
    <w:rsid w:val="00504432"/>
    <w:rsid w:val="00504B98"/>
    <w:rsid w:val="00505232"/>
    <w:rsid w:val="00505414"/>
    <w:rsid w:val="005054CB"/>
    <w:rsid w:val="00505C22"/>
    <w:rsid w:val="00506435"/>
    <w:rsid w:val="00507006"/>
    <w:rsid w:val="005073EB"/>
    <w:rsid w:val="00507677"/>
    <w:rsid w:val="00507965"/>
    <w:rsid w:val="00507B54"/>
    <w:rsid w:val="00510EE2"/>
    <w:rsid w:val="005114B0"/>
    <w:rsid w:val="00511694"/>
    <w:rsid w:val="00511790"/>
    <w:rsid w:val="0051199A"/>
    <w:rsid w:val="005121A8"/>
    <w:rsid w:val="00512A04"/>
    <w:rsid w:val="0051319F"/>
    <w:rsid w:val="00513481"/>
    <w:rsid w:val="005136B0"/>
    <w:rsid w:val="00513B4D"/>
    <w:rsid w:val="00513F5A"/>
    <w:rsid w:val="00514CD2"/>
    <w:rsid w:val="005160DC"/>
    <w:rsid w:val="00516194"/>
    <w:rsid w:val="005170BA"/>
    <w:rsid w:val="00517725"/>
    <w:rsid w:val="0052000A"/>
    <w:rsid w:val="00520048"/>
    <w:rsid w:val="0052013D"/>
    <w:rsid w:val="00520195"/>
    <w:rsid w:val="00520FC0"/>
    <w:rsid w:val="00521082"/>
    <w:rsid w:val="0052187C"/>
    <w:rsid w:val="00522475"/>
    <w:rsid w:val="00522DC7"/>
    <w:rsid w:val="00523649"/>
    <w:rsid w:val="005238FE"/>
    <w:rsid w:val="00523A07"/>
    <w:rsid w:val="00523D7E"/>
    <w:rsid w:val="00523E20"/>
    <w:rsid w:val="0052408C"/>
    <w:rsid w:val="005242CD"/>
    <w:rsid w:val="0052458C"/>
    <w:rsid w:val="00524843"/>
    <w:rsid w:val="00524F92"/>
    <w:rsid w:val="005251BC"/>
    <w:rsid w:val="00525402"/>
    <w:rsid w:val="00525C28"/>
    <w:rsid w:val="00525CE1"/>
    <w:rsid w:val="005269D2"/>
    <w:rsid w:val="005270E0"/>
    <w:rsid w:val="00530083"/>
    <w:rsid w:val="005304A0"/>
    <w:rsid w:val="005309D0"/>
    <w:rsid w:val="00530D31"/>
    <w:rsid w:val="00531324"/>
    <w:rsid w:val="005314EA"/>
    <w:rsid w:val="00531640"/>
    <w:rsid w:val="0053188F"/>
    <w:rsid w:val="00532467"/>
    <w:rsid w:val="00532699"/>
    <w:rsid w:val="00532814"/>
    <w:rsid w:val="0053288D"/>
    <w:rsid w:val="0053306F"/>
    <w:rsid w:val="0053346B"/>
    <w:rsid w:val="00533869"/>
    <w:rsid w:val="00533ABD"/>
    <w:rsid w:val="00533C4A"/>
    <w:rsid w:val="00535F8B"/>
    <w:rsid w:val="005363C3"/>
    <w:rsid w:val="00536E25"/>
    <w:rsid w:val="005407CF"/>
    <w:rsid w:val="00540B62"/>
    <w:rsid w:val="00540F79"/>
    <w:rsid w:val="00541ECE"/>
    <w:rsid w:val="00542189"/>
    <w:rsid w:val="005424D6"/>
    <w:rsid w:val="005433B1"/>
    <w:rsid w:val="005433EB"/>
    <w:rsid w:val="00543D88"/>
    <w:rsid w:val="00544107"/>
    <w:rsid w:val="0054416A"/>
    <w:rsid w:val="005442D2"/>
    <w:rsid w:val="00544660"/>
    <w:rsid w:val="00544A61"/>
    <w:rsid w:val="005455BF"/>
    <w:rsid w:val="0054716A"/>
    <w:rsid w:val="00547C3E"/>
    <w:rsid w:val="00551A2C"/>
    <w:rsid w:val="00551DE5"/>
    <w:rsid w:val="005524FD"/>
    <w:rsid w:val="00552A05"/>
    <w:rsid w:val="00552AB2"/>
    <w:rsid w:val="00552C20"/>
    <w:rsid w:val="00552CAD"/>
    <w:rsid w:val="005530AB"/>
    <w:rsid w:val="005531D2"/>
    <w:rsid w:val="005532D4"/>
    <w:rsid w:val="00553437"/>
    <w:rsid w:val="0055382F"/>
    <w:rsid w:val="005538CA"/>
    <w:rsid w:val="00553F76"/>
    <w:rsid w:val="005542E2"/>
    <w:rsid w:val="005545D1"/>
    <w:rsid w:val="00554F4D"/>
    <w:rsid w:val="00555286"/>
    <w:rsid w:val="0055529A"/>
    <w:rsid w:val="00555B34"/>
    <w:rsid w:val="00556AB9"/>
    <w:rsid w:val="00556FB7"/>
    <w:rsid w:val="00557336"/>
    <w:rsid w:val="00560D55"/>
    <w:rsid w:val="00561047"/>
    <w:rsid w:val="00561068"/>
    <w:rsid w:val="0056140E"/>
    <w:rsid w:val="00561452"/>
    <w:rsid w:val="00561E96"/>
    <w:rsid w:val="0056242F"/>
    <w:rsid w:val="00562557"/>
    <w:rsid w:val="00562AD5"/>
    <w:rsid w:val="0056317D"/>
    <w:rsid w:val="00565491"/>
    <w:rsid w:val="00565C15"/>
    <w:rsid w:val="00565F55"/>
    <w:rsid w:val="00565F7D"/>
    <w:rsid w:val="005660FF"/>
    <w:rsid w:val="005664A6"/>
    <w:rsid w:val="005675BD"/>
    <w:rsid w:val="00567ED2"/>
    <w:rsid w:val="0057082B"/>
    <w:rsid w:val="005710D2"/>
    <w:rsid w:val="005711A4"/>
    <w:rsid w:val="00571292"/>
    <w:rsid w:val="005713F3"/>
    <w:rsid w:val="005716D9"/>
    <w:rsid w:val="0057206E"/>
    <w:rsid w:val="00572397"/>
    <w:rsid w:val="0057287F"/>
    <w:rsid w:val="00572A7D"/>
    <w:rsid w:val="00572BE4"/>
    <w:rsid w:val="00572DA7"/>
    <w:rsid w:val="00572FF4"/>
    <w:rsid w:val="00574143"/>
    <w:rsid w:val="005744C1"/>
    <w:rsid w:val="0057561A"/>
    <w:rsid w:val="00575838"/>
    <w:rsid w:val="00575863"/>
    <w:rsid w:val="00575DCD"/>
    <w:rsid w:val="00575E34"/>
    <w:rsid w:val="00576464"/>
    <w:rsid w:val="005766E2"/>
    <w:rsid w:val="00577A45"/>
    <w:rsid w:val="00577CA1"/>
    <w:rsid w:val="00577D2B"/>
    <w:rsid w:val="00580185"/>
    <w:rsid w:val="00581159"/>
    <w:rsid w:val="00581176"/>
    <w:rsid w:val="00581522"/>
    <w:rsid w:val="00581726"/>
    <w:rsid w:val="0058184C"/>
    <w:rsid w:val="00581ACA"/>
    <w:rsid w:val="005820FA"/>
    <w:rsid w:val="00582250"/>
    <w:rsid w:val="005823D6"/>
    <w:rsid w:val="0058261F"/>
    <w:rsid w:val="00582C34"/>
    <w:rsid w:val="00582C93"/>
    <w:rsid w:val="00583114"/>
    <w:rsid w:val="005835B1"/>
    <w:rsid w:val="00583BF8"/>
    <w:rsid w:val="005842C0"/>
    <w:rsid w:val="0058477B"/>
    <w:rsid w:val="005849FE"/>
    <w:rsid w:val="00584DA7"/>
    <w:rsid w:val="00585924"/>
    <w:rsid w:val="00585A56"/>
    <w:rsid w:val="00585B68"/>
    <w:rsid w:val="0058625C"/>
    <w:rsid w:val="005863FD"/>
    <w:rsid w:val="0058645D"/>
    <w:rsid w:val="00586801"/>
    <w:rsid w:val="00587A19"/>
    <w:rsid w:val="00590518"/>
    <w:rsid w:val="00590B2D"/>
    <w:rsid w:val="00591041"/>
    <w:rsid w:val="00591378"/>
    <w:rsid w:val="00591C31"/>
    <w:rsid w:val="00591E61"/>
    <w:rsid w:val="00591FCB"/>
    <w:rsid w:val="005925A3"/>
    <w:rsid w:val="005936DA"/>
    <w:rsid w:val="00593BC1"/>
    <w:rsid w:val="00594342"/>
    <w:rsid w:val="005946BB"/>
    <w:rsid w:val="005948FD"/>
    <w:rsid w:val="00594C10"/>
    <w:rsid w:val="00595FC8"/>
    <w:rsid w:val="00597484"/>
    <w:rsid w:val="0059788D"/>
    <w:rsid w:val="00597CCA"/>
    <w:rsid w:val="005A06CD"/>
    <w:rsid w:val="005A0A0A"/>
    <w:rsid w:val="005A0DDF"/>
    <w:rsid w:val="005A1295"/>
    <w:rsid w:val="005A319C"/>
    <w:rsid w:val="005A3362"/>
    <w:rsid w:val="005A3781"/>
    <w:rsid w:val="005A3FB3"/>
    <w:rsid w:val="005A5236"/>
    <w:rsid w:val="005A5521"/>
    <w:rsid w:val="005A6795"/>
    <w:rsid w:val="005A6B58"/>
    <w:rsid w:val="005A6F9F"/>
    <w:rsid w:val="005A79EE"/>
    <w:rsid w:val="005B0E14"/>
    <w:rsid w:val="005B2241"/>
    <w:rsid w:val="005B29AB"/>
    <w:rsid w:val="005B3236"/>
    <w:rsid w:val="005B37B0"/>
    <w:rsid w:val="005B3B57"/>
    <w:rsid w:val="005B45A4"/>
    <w:rsid w:val="005B53A3"/>
    <w:rsid w:val="005B59D1"/>
    <w:rsid w:val="005B5CB8"/>
    <w:rsid w:val="005B6C86"/>
    <w:rsid w:val="005B6FE9"/>
    <w:rsid w:val="005B7C12"/>
    <w:rsid w:val="005C133A"/>
    <w:rsid w:val="005C2099"/>
    <w:rsid w:val="005C2B0B"/>
    <w:rsid w:val="005C309A"/>
    <w:rsid w:val="005C41EB"/>
    <w:rsid w:val="005C461D"/>
    <w:rsid w:val="005C4B8D"/>
    <w:rsid w:val="005C58CE"/>
    <w:rsid w:val="005C5F91"/>
    <w:rsid w:val="005C6FF4"/>
    <w:rsid w:val="005C7860"/>
    <w:rsid w:val="005D0488"/>
    <w:rsid w:val="005D060B"/>
    <w:rsid w:val="005D0AC6"/>
    <w:rsid w:val="005D146A"/>
    <w:rsid w:val="005D1678"/>
    <w:rsid w:val="005D1C7B"/>
    <w:rsid w:val="005D1F91"/>
    <w:rsid w:val="005D2550"/>
    <w:rsid w:val="005D29B9"/>
    <w:rsid w:val="005D2AE0"/>
    <w:rsid w:val="005D32AA"/>
    <w:rsid w:val="005D38A7"/>
    <w:rsid w:val="005D41E9"/>
    <w:rsid w:val="005D4804"/>
    <w:rsid w:val="005D4A28"/>
    <w:rsid w:val="005D4B94"/>
    <w:rsid w:val="005D552E"/>
    <w:rsid w:val="005D55B6"/>
    <w:rsid w:val="005D5699"/>
    <w:rsid w:val="005D5BAC"/>
    <w:rsid w:val="005D5C61"/>
    <w:rsid w:val="005D6B7F"/>
    <w:rsid w:val="005D6BF7"/>
    <w:rsid w:val="005D7996"/>
    <w:rsid w:val="005D7E39"/>
    <w:rsid w:val="005D7FAB"/>
    <w:rsid w:val="005E055C"/>
    <w:rsid w:val="005E0ACC"/>
    <w:rsid w:val="005E0B42"/>
    <w:rsid w:val="005E0E29"/>
    <w:rsid w:val="005E2CB1"/>
    <w:rsid w:val="005E30CC"/>
    <w:rsid w:val="005E30EB"/>
    <w:rsid w:val="005E4904"/>
    <w:rsid w:val="005E4F20"/>
    <w:rsid w:val="005E4F6C"/>
    <w:rsid w:val="005E50AE"/>
    <w:rsid w:val="005E5136"/>
    <w:rsid w:val="005E7BC9"/>
    <w:rsid w:val="005E7CCD"/>
    <w:rsid w:val="005F0BE6"/>
    <w:rsid w:val="005F0DFE"/>
    <w:rsid w:val="005F1121"/>
    <w:rsid w:val="005F14AB"/>
    <w:rsid w:val="005F2B2C"/>
    <w:rsid w:val="005F2B51"/>
    <w:rsid w:val="005F3779"/>
    <w:rsid w:val="005F41AA"/>
    <w:rsid w:val="005F41BB"/>
    <w:rsid w:val="005F4D4D"/>
    <w:rsid w:val="005F5F5B"/>
    <w:rsid w:val="005F5FEB"/>
    <w:rsid w:val="005F650D"/>
    <w:rsid w:val="005F68F4"/>
    <w:rsid w:val="005F6C4D"/>
    <w:rsid w:val="005F6D5C"/>
    <w:rsid w:val="005F759B"/>
    <w:rsid w:val="0060075A"/>
    <w:rsid w:val="00601B8F"/>
    <w:rsid w:val="00601D70"/>
    <w:rsid w:val="0060206B"/>
    <w:rsid w:val="0060245A"/>
    <w:rsid w:val="006024B7"/>
    <w:rsid w:val="006026F5"/>
    <w:rsid w:val="0060352A"/>
    <w:rsid w:val="00603587"/>
    <w:rsid w:val="00603AC2"/>
    <w:rsid w:val="00603E1A"/>
    <w:rsid w:val="00603E5F"/>
    <w:rsid w:val="00603EEC"/>
    <w:rsid w:val="006041D8"/>
    <w:rsid w:val="0060426C"/>
    <w:rsid w:val="00604322"/>
    <w:rsid w:val="006045AC"/>
    <w:rsid w:val="00604809"/>
    <w:rsid w:val="00604F4A"/>
    <w:rsid w:val="00605D5D"/>
    <w:rsid w:val="0060698A"/>
    <w:rsid w:val="00607330"/>
    <w:rsid w:val="00607400"/>
    <w:rsid w:val="0060797D"/>
    <w:rsid w:val="00607E2C"/>
    <w:rsid w:val="006101CA"/>
    <w:rsid w:val="00610328"/>
    <w:rsid w:val="0061050A"/>
    <w:rsid w:val="00611478"/>
    <w:rsid w:val="00611C8F"/>
    <w:rsid w:val="0061298C"/>
    <w:rsid w:val="00612A9A"/>
    <w:rsid w:val="0061348C"/>
    <w:rsid w:val="00613EDE"/>
    <w:rsid w:val="00614E91"/>
    <w:rsid w:val="00615023"/>
    <w:rsid w:val="00615356"/>
    <w:rsid w:val="00615C72"/>
    <w:rsid w:val="00616140"/>
    <w:rsid w:val="006176ED"/>
    <w:rsid w:val="00617D41"/>
    <w:rsid w:val="00617D52"/>
    <w:rsid w:val="00620093"/>
    <w:rsid w:val="00620255"/>
    <w:rsid w:val="006202C2"/>
    <w:rsid w:val="00620E67"/>
    <w:rsid w:val="006211C5"/>
    <w:rsid w:val="00621F77"/>
    <w:rsid w:val="00622819"/>
    <w:rsid w:val="00622ED1"/>
    <w:rsid w:val="006231E8"/>
    <w:rsid w:val="00623294"/>
    <w:rsid w:val="006234CA"/>
    <w:rsid w:val="00623780"/>
    <w:rsid w:val="006239E4"/>
    <w:rsid w:val="00625263"/>
    <w:rsid w:val="00625467"/>
    <w:rsid w:val="006258FB"/>
    <w:rsid w:val="00626E49"/>
    <w:rsid w:val="006273BF"/>
    <w:rsid w:val="006310B6"/>
    <w:rsid w:val="00631370"/>
    <w:rsid w:val="006315F1"/>
    <w:rsid w:val="006317B1"/>
    <w:rsid w:val="00632BD3"/>
    <w:rsid w:val="0063339F"/>
    <w:rsid w:val="00633594"/>
    <w:rsid w:val="0063390E"/>
    <w:rsid w:val="006349C4"/>
    <w:rsid w:val="00634A9C"/>
    <w:rsid w:val="00635910"/>
    <w:rsid w:val="00635BBA"/>
    <w:rsid w:val="0063664C"/>
    <w:rsid w:val="00636A68"/>
    <w:rsid w:val="00637314"/>
    <w:rsid w:val="00637531"/>
    <w:rsid w:val="00637B3D"/>
    <w:rsid w:val="00637C85"/>
    <w:rsid w:val="00637D25"/>
    <w:rsid w:val="00641DED"/>
    <w:rsid w:val="00642782"/>
    <w:rsid w:val="006428D2"/>
    <w:rsid w:val="006430B9"/>
    <w:rsid w:val="00643637"/>
    <w:rsid w:val="00643C70"/>
    <w:rsid w:val="00643CCF"/>
    <w:rsid w:val="00644294"/>
    <w:rsid w:val="00644800"/>
    <w:rsid w:val="006453EB"/>
    <w:rsid w:val="00645AAE"/>
    <w:rsid w:val="00645B43"/>
    <w:rsid w:val="00646550"/>
    <w:rsid w:val="00646DB9"/>
    <w:rsid w:val="0065044C"/>
    <w:rsid w:val="00650825"/>
    <w:rsid w:val="00650E0D"/>
    <w:rsid w:val="00651110"/>
    <w:rsid w:val="00651C03"/>
    <w:rsid w:val="00651F48"/>
    <w:rsid w:val="006521EE"/>
    <w:rsid w:val="00652447"/>
    <w:rsid w:val="00652818"/>
    <w:rsid w:val="0065286D"/>
    <w:rsid w:val="0065311B"/>
    <w:rsid w:val="0065326A"/>
    <w:rsid w:val="0065326B"/>
    <w:rsid w:val="00654503"/>
    <w:rsid w:val="00654A5B"/>
    <w:rsid w:val="00655919"/>
    <w:rsid w:val="00655B56"/>
    <w:rsid w:val="006562FB"/>
    <w:rsid w:val="006563C9"/>
    <w:rsid w:val="0065683F"/>
    <w:rsid w:val="00656ABE"/>
    <w:rsid w:val="00656FCF"/>
    <w:rsid w:val="006579D7"/>
    <w:rsid w:val="0066041C"/>
    <w:rsid w:val="00660FB9"/>
    <w:rsid w:val="0066163A"/>
    <w:rsid w:val="00661777"/>
    <w:rsid w:val="00662068"/>
    <w:rsid w:val="0066299B"/>
    <w:rsid w:val="00663552"/>
    <w:rsid w:val="00663693"/>
    <w:rsid w:val="00663A05"/>
    <w:rsid w:val="00663FF5"/>
    <w:rsid w:val="00665743"/>
    <w:rsid w:val="00665EB8"/>
    <w:rsid w:val="00666164"/>
    <w:rsid w:val="006664FD"/>
    <w:rsid w:val="006668A9"/>
    <w:rsid w:val="0066711A"/>
    <w:rsid w:val="0066731B"/>
    <w:rsid w:val="006708F3"/>
    <w:rsid w:val="006717FE"/>
    <w:rsid w:val="00671BFA"/>
    <w:rsid w:val="00672536"/>
    <w:rsid w:val="00672571"/>
    <w:rsid w:val="00672709"/>
    <w:rsid w:val="006731DD"/>
    <w:rsid w:val="00674157"/>
    <w:rsid w:val="00674BAB"/>
    <w:rsid w:val="00675BA9"/>
    <w:rsid w:val="00677260"/>
    <w:rsid w:val="00677266"/>
    <w:rsid w:val="006779FF"/>
    <w:rsid w:val="006804BD"/>
    <w:rsid w:val="0068094A"/>
    <w:rsid w:val="00680BCB"/>
    <w:rsid w:val="00680D6B"/>
    <w:rsid w:val="006815AE"/>
    <w:rsid w:val="00681D60"/>
    <w:rsid w:val="00682007"/>
    <w:rsid w:val="00682E67"/>
    <w:rsid w:val="00683204"/>
    <w:rsid w:val="00683406"/>
    <w:rsid w:val="00683D9E"/>
    <w:rsid w:val="00683DB3"/>
    <w:rsid w:val="00684169"/>
    <w:rsid w:val="00685606"/>
    <w:rsid w:val="00686167"/>
    <w:rsid w:val="0069099C"/>
    <w:rsid w:val="00690C71"/>
    <w:rsid w:val="0069106A"/>
    <w:rsid w:val="006916D6"/>
    <w:rsid w:val="00692352"/>
    <w:rsid w:val="0069249E"/>
    <w:rsid w:val="00692E8E"/>
    <w:rsid w:val="006932C9"/>
    <w:rsid w:val="006934D4"/>
    <w:rsid w:val="006953D4"/>
    <w:rsid w:val="00695F97"/>
    <w:rsid w:val="0069699C"/>
    <w:rsid w:val="00697C83"/>
    <w:rsid w:val="006A1006"/>
    <w:rsid w:val="006A10AC"/>
    <w:rsid w:val="006A21B7"/>
    <w:rsid w:val="006A24C1"/>
    <w:rsid w:val="006A2738"/>
    <w:rsid w:val="006A2BE8"/>
    <w:rsid w:val="006A2BF0"/>
    <w:rsid w:val="006A32A7"/>
    <w:rsid w:val="006A32EB"/>
    <w:rsid w:val="006A4BEE"/>
    <w:rsid w:val="006A588F"/>
    <w:rsid w:val="006A5B48"/>
    <w:rsid w:val="006A5C2F"/>
    <w:rsid w:val="006A5F39"/>
    <w:rsid w:val="006A657B"/>
    <w:rsid w:val="006A6C06"/>
    <w:rsid w:val="006A7D0A"/>
    <w:rsid w:val="006A7D36"/>
    <w:rsid w:val="006B01DB"/>
    <w:rsid w:val="006B03FE"/>
    <w:rsid w:val="006B2B5C"/>
    <w:rsid w:val="006B32FE"/>
    <w:rsid w:val="006B3A50"/>
    <w:rsid w:val="006B401C"/>
    <w:rsid w:val="006B448D"/>
    <w:rsid w:val="006B489F"/>
    <w:rsid w:val="006B4C19"/>
    <w:rsid w:val="006B4D17"/>
    <w:rsid w:val="006B5903"/>
    <w:rsid w:val="006B5CC7"/>
    <w:rsid w:val="006B607D"/>
    <w:rsid w:val="006C02AD"/>
    <w:rsid w:val="006C1678"/>
    <w:rsid w:val="006C1688"/>
    <w:rsid w:val="006C1A1B"/>
    <w:rsid w:val="006C21D6"/>
    <w:rsid w:val="006C2259"/>
    <w:rsid w:val="006C27E9"/>
    <w:rsid w:val="006C2B65"/>
    <w:rsid w:val="006C3125"/>
    <w:rsid w:val="006C35D3"/>
    <w:rsid w:val="006C3621"/>
    <w:rsid w:val="006C3C3C"/>
    <w:rsid w:val="006C3CEC"/>
    <w:rsid w:val="006C423C"/>
    <w:rsid w:val="006C44DD"/>
    <w:rsid w:val="006C4A67"/>
    <w:rsid w:val="006C4B13"/>
    <w:rsid w:val="006C4B7D"/>
    <w:rsid w:val="006C5359"/>
    <w:rsid w:val="006C5588"/>
    <w:rsid w:val="006C5AE2"/>
    <w:rsid w:val="006C5C6C"/>
    <w:rsid w:val="006C5D72"/>
    <w:rsid w:val="006C6227"/>
    <w:rsid w:val="006C678A"/>
    <w:rsid w:val="006C711D"/>
    <w:rsid w:val="006C75BD"/>
    <w:rsid w:val="006C7748"/>
    <w:rsid w:val="006C7798"/>
    <w:rsid w:val="006C7D0B"/>
    <w:rsid w:val="006C7D55"/>
    <w:rsid w:val="006D0B77"/>
    <w:rsid w:val="006D0E6C"/>
    <w:rsid w:val="006D0F7E"/>
    <w:rsid w:val="006D1AA2"/>
    <w:rsid w:val="006D1DA4"/>
    <w:rsid w:val="006D2D8D"/>
    <w:rsid w:val="006D2F3D"/>
    <w:rsid w:val="006D345C"/>
    <w:rsid w:val="006D34F1"/>
    <w:rsid w:val="006D3625"/>
    <w:rsid w:val="006D3851"/>
    <w:rsid w:val="006D3C90"/>
    <w:rsid w:val="006D4717"/>
    <w:rsid w:val="006D4BF3"/>
    <w:rsid w:val="006D51CE"/>
    <w:rsid w:val="006D5301"/>
    <w:rsid w:val="006D5DD7"/>
    <w:rsid w:val="006D743A"/>
    <w:rsid w:val="006D7C24"/>
    <w:rsid w:val="006E1288"/>
    <w:rsid w:val="006E265D"/>
    <w:rsid w:val="006E2DB6"/>
    <w:rsid w:val="006E4029"/>
    <w:rsid w:val="006E4275"/>
    <w:rsid w:val="006E462A"/>
    <w:rsid w:val="006E4E17"/>
    <w:rsid w:val="006E4E74"/>
    <w:rsid w:val="006E4F4C"/>
    <w:rsid w:val="006E4FAB"/>
    <w:rsid w:val="006E5309"/>
    <w:rsid w:val="006E562C"/>
    <w:rsid w:val="006E5EB9"/>
    <w:rsid w:val="006E605C"/>
    <w:rsid w:val="006E60A7"/>
    <w:rsid w:val="006E770C"/>
    <w:rsid w:val="006F02E1"/>
    <w:rsid w:val="006F0A71"/>
    <w:rsid w:val="006F1249"/>
    <w:rsid w:val="006F1288"/>
    <w:rsid w:val="006F1FC9"/>
    <w:rsid w:val="006F1FEE"/>
    <w:rsid w:val="006F272A"/>
    <w:rsid w:val="006F2CD4"/>
    <w:rsid w:val="006F2DCE"/>
    <w:rsid w:val="006F2E44"/>
    <w:rsid w:val="006F2FD6"/>
    <w:rsid w:val="006F36EE"/>
    <w:rsid w:val="006F373C"/>
    <w:rsid w:val="006F37A9"/>
    <w:rsid w:val="006F37AC"/>
    <w:rsid w:val="006F45CF"/>
    <w:rsid w:val="006F4C75"/>
    <w:rsid w:val="006F507C"/>
    <w:rsid w:val="006F576D"/>
    <w:rsid w:val="006F5BCF"/>
    <w:rsid w:val="006F66C3"/>
    <w:rsid w:val="006F7EED"/>
    <w:rsid w:val="00700152"/>
    <w:rsid w:val="00700469"/>
    <w:rsid w:val="00701F16"/>
    <w:rsid w:val="00702DCC"/>
    <w:rsid w:val="007030E8"/>
    <w:rsid w:val="0070541B"/>
    <w:rsid w:val="00705F1A"/>
    <w:rsid w:val="00706E26"/>
    <w:rsid w:val="00707887"/>
    <w:rsid w:val="00707E09"/>
    <w:rsid w:val="00710957"/>
    <w:rsid w:val="00710CC7"/>
    <w:rsid w:val="00710FE0"/>
    <w:rsid w:val="0071153F"/>
    <w:rsid w:val="00711954"/>
    <w:rsid w:val="00711BFF"/>
    <w:rsid w:val="007127C0"/>
    <w:rsid w:val="00712CDB"/>
    <w:rsid w:val="00712FA2"/>
    <w:rsid w:val="007132B9"/>
    <w:rsid w:val="0071392D"/>
    <w:rsid w:val="007145F0"/>
    <w:rsid w:val="00714FC2"/>
    <w:rsid w:val="00716202"/>
    <w:rsid w:val="00716780"/>
    <w:rsid w:val="007167BD"/>
    <w:rsid w:val="00716C6B"/>
    <w:rsid w:val="00717303"/>
    <w:rsid w:val="0071748E"/>
    <w:rsid w:val="007176BA"/>
    <w:rsid w:val="0071777A"/>
    <w:rsid w:val="007201AF"/>
    <w:rsid w:val="00720E82"/>
    <w:rsid w:val="00721073"/>
    <w:rsid w:val="007215BD"/>
    <w:rsid w:val="007215D8"/>
    <w:rsid w:val="00721776"/>
    <w:rsid w:val="0072191F"/>
    <w:rsid w:val="00721A98"/>
    <w:rsid w:val="00721D05"/>
    <w:rsid w:val="00722008"/>
    <w:rsid w:val="007222B8"/>
    <w:rsid w:val="00722575"/>
    <w:rsid w:val="00723B08"/>
    <w:rsid w:val="00724155"/>
    <w:rsid w:val="0072435C"/>
    <w:rsid w:val="00724B8B"/>
    <w:rsid w:val="00725F26"/>
    <w:rsid w:val="00726724"/>
    <w:rsid w:val="00726A95"/>
    <w:rsid w:val="00726B36"/>
    <w:rsid w:val="00726E0E"/>
    <w:rsid w:val="00726EBB"/>
    <w:rsid w:val="00727E76"/>
    <w:rsid w:val="00727E9D"/>
    <w:rsid w:val="00731FAF"/>
    <w:rsid w:val="007322C4"/>
    <w:rsid w:val="00732504"/>
    <w:rsid w:val="00732900"/>
    <w:rsid w:val="00732CCB"/>
    <w:rsid w:val="007336A1"/>
    <w:rsid w:val="00734081"/>
    <w:rsid w:val="007343A0"/>
    <w:rsid w:val="00734749"/>
    <w:rsid w:val="00735505"/>
    <w:rsid w:val="00735A9D"/>
    <w:rsid w:val="00735CBF"/>
    <w:rsid w:val="00735E25"/>
    <w:rsid w:val="007360AB"/>
    <w:rsid w:val="00736865"/>
    <w:rsid w:val="00736D87"/>
    <w:rsid w:val="007377B6"/>
    <w:rsid w:val="00737A2E"/>
    <w:rsid w:val="00737EAC"/>
    <w:rsid w:val="007404AA"/>
    <w:rsid w:val="00741193"/>
    <w:rsid w:val="00741C6C"/>
    <w:rsid w:val="0074224B"/>
    <w:rsid w:val="007425BE"/>
    <w:rsid w:val="00742DDE"/>
    <w:rsid w:val="007433C0"/>
    <w:rsid w:val="007437B8"/>
    <w:rsid w:val="00743CCD"/>
    <w:rsid w:val="007440F6"/>
    <w:rsid w:val="00744510"/>
    <w:rsid w:val="00744705"/>
    <w:rsid w:val="00744F97"/>
    <w:rsid w:val="007453FF"/>
    <w:rsid w:val="0074598C"/>
    <w:rsid w:val="00745B99"/>
    <w:rsid w:val="00745CA6"/>
    <w:rsid w:val="00745F1C"/>
    <w:rsid w:val="00746B67"/>
    <w:rsid w:val="00746D40"/>
    <w:rsid w:val="00750379"/>
    <w:rsid w:val="0075071E"/>
    <w:rsid w:val="00750E33"/>
    <w:rsid w:val="00751566"/>
    <w:rsid w:val="00751C07"/>
    <w:rsid w:val="00751F6C"/>
    <w:rsid w:val="007520A7"/>
    <w:rsid w:val="00752262"/>
    <w:rsid w:val="00752492"/>
    <w:rsid w:val="00752C93"/>
    <w:rsid w:val="00753A45"/>
    <w:rsid w:val="00754080"/>
    <w:rsid w:val="007543E4"/>
    <w:rsid w:val="00754B5A"/>
    <w:rsid w:val="00755797"/>
    <w:rsid w:val="00755822"/>
    <w:rsid w:val="0075669D"/>
    <w:rsid w:val="00756E5F"/>
    <w:rsid w:val="00756EE6"/>
    <w:rsid w:val="0076032A"/>
    <w:rsid w:val="0076071F"/>
    <w:rsid w:val="0076130D"/>
    <w:rsid w:val="00761465"/>
    <w:rsid w:val="007619E8"/>
    <w:rsid w:val="00761B23"/>
    <w:rsid w:val="007622FE"/>
    <w:rsid w:val="00762DDA"/>
    <w:rsid w:val="007630AE"/>
    <w:rsid w:val="00763312"/>
    <w:rsid w:val="007644DB"/>
    <w:rsid w:val="007647F6"/>
    <w:rsid w:val="00764A39"/>
    <w:rsid w:val="00765387"/>
    <w:rsid w:val="00765826"/>
    <w:rsid w:val="00765D57"/>
    <w:rsid w:val="0077054C"/>
    <w:rsid w:val="00770D83"/>
    <w:rsid w:val="00771AB5"/>
    <w:rsid w:val="00772227"/>
    <w:rsid w:val="0077232B"/>
    <w:rsid w:val="007723A8"/>
    <w:rsid w:val="00772635"/>
    <w:rsid w:val="00772D4C"/>
    <w:rsid w:val="007737DA"/>
    <w:rsid w:val="00773F30"/>
    <w:rsid w:val="007741D3"/>
    <w:rsid w:val="00774573"/>
    <w:rsid w:val="007747AA"/>
    <w:rsid w:val="00774857"/>
    <w:rsid w:val="00776381"/>
    <w:rsid w:val="00777399"/>
    <w:rsid w:val="00777843"/>
    <w:rsid w:val="00780992"/>
    <w:rsid w:val="00781A08"/>
    <w:rsid w:val="00781F1D"/>
    <w:rsid w:val="0078223C"/>
    <w:rsid w:val="0078249A"/>
    <w:rsid w:val="007829F7"/>
    <w:rsid w:val="00783419"/>
    <w:rsid w:val="00783816"/>
    <w:rsid w:val="007839AC"/>
    <w:rsid w:val="00783AF5"/>
    <w:rsid w:val="00783FF7"/>
    <w:rsid w:val="0078472E"/>
    <w:rsid w:val="00784947"/>
    <w:rsid w:val="00784AAE"/>
    <w:rsid w:val="00784E36"/>
    <w:rsid w:val="007857E9"/>
    <w:rsid w:val="00785C31"/>
    <w:rsid w:val="00786337"/>
    <w:rsid w:val="00787350"/>
    <w:rsid w:val="0078745B"/>
    <w:rsid w:val="007911EF"/>
    <w:rsid w:val="00791B21"/>
    <w:rsid w:val="0079245C"/>
    <w:rsid w:val="007926F2"/>
    <w:rsid w:val="00793B9C"/>
    <w:rsid w:val="00793F93"/>
    <w:rsid w:val="00794076"/>
    <w:rsid w:val="0079437D"/>
    <w:rsid w:val="0079477A"/>
    <w:rsid w:val="00794E7A"/>
    <w:rsid w:val="007955A2"/>
    <w:rsid w:val="0079579D"/>
    <w:rsid w:val="007A009A"/>
    <w:rsid w:val="007A0178"/>
    <w:rsid w:val="007A1D62"/>
    <w:rsid w:val="007A233E"/>
    <w:rsid w:val="007A295E"/>
    <w:rsid w:val="007A3218"/>
    <w:rsid w:val="007A3998"/>
    <w:rsid w:val="007A3C5C"/>
    <w:rsid w:val="007A3D63"/>
    <w:rsid w:val="007A43CB"/>
    <w:rsid w:val="007A44D7"/>
    <w:rsid w:val="007A523C"/>
    <w:rsid w:val="007A79E3"/>
    <w:rsid w:val="007A7CD5"/>
    <w:rsid w:val="007B0183"/>
    <w:rsid w:val="007B120F"/>
    <w:rsid w:val="007B16A8"/>
    <w:rsid w:val="007B18A4"/>
    <w:rsid w:val="007B1F58"/>
    <w:rsid w:val="007B21C0"/>
    <w:rsid w:val="007B2793"/>
    <w:rsid w:val="007B333C"/>
    <w:rsid w:val="007B33CF"/>
    <w:rsid w:val="007B3560"/>
    <w:rsid w:val="007B411A"/>
    <w:rsid w:val="007B41ED"/>
    <w:rsid w:val="007B44F8"/>
    <w:rsid w:val="007B4583"/>
    <w:rsid w:val="007B646C"/>
    <w:rsid w:val="007B7588"/>
    <w:rsid w:val="007B7B08"/>
    <w:rsid w:val="007C07B0"/>
    <w:rsid w:val="007C127F"/>
    <w:rsid w:val="007C2642"/>
    <w:rsid w:val="007C2750"/>
    <w:rsid w:val="007C28B0"/>
    <w:rsid w:val="007C29AF"/>
    <w:rsid w:val="007C3194"/>
    <w:rsid w:val="007C380E"/>
    <w:rsid w:val="007C4838"/>
    <w:rsid w:val="007C48FD"/>
    <w:rsid w:val="007C4CDB"/>
    <w:rsid w:val="007C4D43"/>
    <w:rsid w:val="007C5062"/>
    <w:rsid w:val="007C63DB"/>
    <w:rsid w:val="007C651C"/>
    <w:rsid w:val="007C71C4"/>
    <w:rsid w:val="007C76E3"/>
    <w:rsid w:val="007C7815"/>
    <w:rsid w:val="007D0759"/>
    <w:rsid w:val="007D1093"/>
    <w:rsid w:val="007D1157"/>
    <w:rsid w:val="007D1583"/>
    <w:rsid w:val="007D165A"/>
    <w:rsid w:val="007D1CFD"/>
    <w:rsid w:val="007D2514"/>
    <w:rsid w:val="007D2667"/>
    <w:rsid w:val="007D28C1"/>
    <w:rsid w:val="007D2FD7"/>
    <w:rsid w:val="007D3B0A"/>
    <w:rsid w:val="007D4052"/>
    <w:rsid w:val="007D40E9"/>
    <w:rsid w:val="007D44C9"/>
    <w:rsid w:val="007D45DE"/>
    <w:rsid w:val="007D4B43"/>
    <w:rsid w:val="007D5010"/>
    <w:rsid w:val="007D6740"/>
    <w:rsid w:val="007D6B69"/>
    <w:rsid w:val="007D7054"/>
    <w:rsid w:val="007D7ABE"/>
    <w:rsid w:val="007E058F"/>
    <w:rsid w:val="007E0861"/>
    <w:rsid w:val="007E124A"/>
    <w:rsid w:val="007E141A"/>
    <w:rsid w:val="007E1649"/>
    <w:rsid w:val="007E167A"/>
    <w:rsid w:val="007E16BE"/>
    <w:rsid w:val="007E1F21"/>
    <w:rsid w:val="007E3474"/>
    <w:rsid w:val="007E3705"/>
    <w:rsid w:val="007E39BA"/>
    <w:rsid w:val="007E41F4"/>
    <w:rsid w:val="007E4E59"/>
    <w:rsid w:val="007E4F99"/>
    <w:rsid w:val="007E50EF"/>
    <w:rsid w:val="007E549E"/>
    <w:rsid w:val="007E5C31"/>
    <w:rsid w:val="007E61D5"/>
    <w:rsid w:val="007E6501"/>
    <w:rsid w:val="007E7243"/>
    <w:rsid w:val="007E73AC"/>
    <w:rsid w:val="007E7945"/>
    <w:rsid w:val="007E7C96"/>
    <w:rsid w:val="007F0237"/>
    <w:rsid w:val="007F0A1D"/>
    <w:rsid w:val="007F0D72"/>
    <w:rsid w:val="007F137E"/>
    <w:rsid w:val="007F202F"/>
    <w:rsid w:val="007F2B24"/>
    <w:rsid w:val="007F2C1E"/>
    <w:rsid w:val="007F368D"/>
    <w:rsid w:val="007F36DE"/>
    <w:rsid w:val="007F375E"/>
    <w:rsid w:val="007F3825"/>
    <w:rsid w:val="007F3909"/>
    <w:rsid w:val="007F3CA8"/>
    <w:rsid w:val="007F3FDA"/>
    <w:rsid w:val="007F4405"/>
    <w:rsid w:val="007F4412"/>
    <w:rsid w:val="007F5498"/>
    <w:rsid w:val="007F5848"/>
    <w:rsid w:val="007F5E3D"/>
    <w:rsid w:val="007F6085"/>
    <w:rsid w:val="007F66F9"/>
    <w:rsid w:val="007F699B"/>
    <w:rsid w:val="007F6D29"/>
    <w:rsid w:val="007F6E4F"/>
    <w:rsid w:val="007F7934"/>
    <w:rsid w:val="0080087B"/>
    <w:rsid w:val="008014F0"/>
    <w:rsid w:val="0080150D"/>
    <w:rsid w:val="008017CA"/>
    <w:rsid w:val="00801A19"/>
    <w:rsid w:val="008024D3"/>
    <w:rsid w:val="00802848"/>
    <w:rsid w:val="00802E01"/>
    <w:rsid w:val="00803956"/>
    <w:rsid w:val="0080437F"/>
    <w:rsid w:val="008047EB"/>
    <w:rsid w:val="00804AA5"/>
    <w:rsid w:val="00805008"/>
    <w:rsid w:val="00805EEB"/>
    <w:rsid w:val="008061ED"/>
    <w:rsid w:val="00806EBB"/>
    <w:rsid w:val="00806FF8"/>
    <w:rsid w:val="008072C9"/>
    <w:rsid w:val="008076C2"/>
    <w:rsid w:val="00807AF2"/>
    <w:rsid w:val="008101E7"/>
    <w:rsid w:val="008102C4"/>
    <w:rsid w:val="00810E33"/>
    <w:rsid w:val="00810EF2"/>
    <w:rsid w:val="00810F9A"/>
    <w:rsid w:val="0081131D"/>
    <w:rsid w:val="008114FE"/>
    <w:rsid w:val="00811E5F"/>
    <w:rsid w:val="00812369"/>
    <w:rsid w:val="00812630"/>
    <w:rsid w:val="0081293D"/>
    <w:rsid w:val="00812B19"/>
    <w:rsid w:val="00812F1C"/>
    <w:rsid w:val="008134B1"/>
    <w:rsid w:val="008138A9"/>
    <w:rsid w:val="00813A83"/>
    <w:rsid w:val="00813F83"/>
    <w:rsid w:val="00814071"/>
    <w:rsid w:val="008141D6"/>
    <w:rsid w:val="0081480E"/>
    <w:rsid w:val="008152D1"/>
    <w:rsid w:val="00815535"/>
    <w:rsid w:val="008157E5"/>
    <w:rsid w:val="00815D4B"/>
    <w:rsid w:val="008161BF"/>
    <w:rsid w:val="00816C1B"/>
    <w:rsid w:val="0081702B"/>
    <w:rsid w:val="008174C5"/>
    <w:rsid w:val="00820243"/>
    <w:rsid w:val="00820AD7"/>
    <w:rsid w:val="00820E61"/>
    <w:rsid w:val="00820F68"/>
    <w:rsid w:val="00821291"/>
    <w:rsid w:val="0082158D"/>
    <w:rsid w:val="00821624"/>
    <w:rsid w:val="008225DB"/>
    <w:rsid w:val="008226F9"/>
    <w:rsid w:val="00823861"/>
    <w:rsid w:val="0082496A"/>
    <w:rsid w:val="0082510C"/>
    <w:rsid w:val="00825FCF"/>
    <w:rsid w:val="00826251"/>
    <w:rsid w:val="0082687B"/>
    <w:rsid w:val="00826A0A"/>
    <w:rsid w:val="00826FEA"/>
    <w:rsid w:val="00827051"/>
    <w:rsid w:val="008271EF"/>
    <w:rsid w:val="008273DF"/>
    <w:rsid w:val="008274F6"/>
    <w:rsid w:val="008274FB"/>
    <w:rsid w:val="0082780D"/>
    <w:rsid w:val="00827823"/>
    <w:rsid w:val="00827A3D"/>
    <w:rsid w:val="00827C19"/>
    <w:rsid w:val="008301EA"/>
    <w:rsid w:val="00830852"/>
    <w:rsid w:val="008313A2"/>
    <w:rsid w:val="008313A6"/>
    <w:rsid w:val="0083152F"/>
    <w:rsid w:val="00831996"/>
    <w:rsid w:val="0083200D"/>
    <w:rsid w:val="00832895"/>
    <w:rsid w:val="0083473D"/>
    <w:rsid w:val="00834CBD"/>
    <w:rsid w:val="00834D99"/>
    <w:rsid w:val="0083582C"/>
    <w:rsid w:val="00835EF3"/>
    <w:rsid w:val="00836854"/>
    <w:rsid w:val="00836DB9"/>
    <w:rsid w:val="0083782E"/>
    <w:rsid w:val="00837982"/>
    <w:rsid w:val="00840324"/>
    <w:rsid w:val="0084082A"/>
    <w:rsid w:val="00840A27"/>
    <w:rsid w:val="0084132D"/>
    <w:rsid w:val="00841DF4"/>
    <w:rsid w:val="00841E14"/>
    <w:rsid w:val="00842042"/>
    <w:rsid w:val="0084205E"/>
    <w:rsid w:val="00842D4B"/>
    <w:rsid w:val="00842F99"/>
    <w:rsid w:val="00843923"/>
    <w:rsid w:val="00843A2A"/>
    <w:rsid w:val="00843AF1"/>
    <w:rsid w:val="008450E8"/>
    <w:rsid w:val="00845623"/>
    <w:rsid w:val="00845F90"/>
    <w:rsid w:val="008466C5"/>
    <w:rsid w:val="00846912"/>
    <w:rsid w:val="00847064"/>
    <w:rsid w:val="0084710F"/>
    <w:rsid w:val="0084724E"/>
    <w:rsid w:val="00847403"/>
    <w:rsid w:val="00847428"/>
    <w:rsid w:val="00847765"/>
    <w:rsid w:val="0085011E"/>
    <w:rsid w:val="00850E32"/>
    <w:rsid w:val="008510EB"/>
    <w:rsid w:val="00851486"/>
    <w:rsid w:val="008518DF"/>
    <w:rsid w:val="00851CD9"/>
    <w:rsid w:val="00851FE0"/>
    <w:rsid w:val="00852985"/>
    <w:rsid w:val="00852AA9"/>
    <w:rsid w:val="00852AD1"/>
    <w:rsid w:val="00852DEA"/>
    <w:rsid w:val="008530F1"/>
    <w:rsid w:val="008533B5"/>
    <w:rsid w:val="008547F2"/>
    <w:rsid w:val="00854848"/>
    <w:rsid w:val="0085547A"/>
    <w:rsid w:val="00855B79"/>
    <w:rsid w:val="00855F7A"/>
    <w:rsid w:val="00855FDE"/>
    <w:rsid w:val="00856F76"/>
    <w:rsid w:val="00857664"/>
    <w:rsid w:val="0085773B"/>
    <w:rsid w:val="0085791D"/>
    <w:rsid w:val="0085796C"/>
    <w:rsid w:val="008617B2"/>
    <w:rsid w:val="00861CC9"/>
    <w:rsid w:val="00862365"/>
    <w:rsid w:val="0086247C"/>
    <w:rsid w:val="00862CAC"/>
    <w:rsid w:val="00862D42"/>
    <w:rsid w:val="00863238"/>
    <w:rsid w:val="0086340E"/>
    <w:rsid w:val="00863859"/>
    <w:rsid w:val="0086407B"/>
    <w:rsid w:val="0086437B"/>
    <w:rsid w:val="00864BAB"/>
    <w:rsid w:val="00864F65"/>
    <w:rsid w:val="00865575"/>
    <w:rsid w:val="00865644"/>
    <w:rsid w:val="00865B1D"/>
    <w:rsid w:val="008662B2"/>
    <w:rsid w:val="00867B66"/>
    <w:rsid w:val="00867F31"/>
    <w:rsid w:val="0087148A"/>
    <w:rsid w:val="00871E85"/>
    <w:rsid w:val="00872A8D"/>
    <w:rsid w:val="0087472C"/>
    <w:rsid w:val="00874CD4"/>
    <w:rsid w:val="0087502B"/>
    <w:rsid w:val="008766EC"/>
    <w:rsid w:val="00876D8B"/>
    <w:rsid w:val="00876EFC"/>
    <w:rsid w:val="00877968"/>
    <w:rsid w:val="00877A9A"/>
    <w:rsid w:val="00880BC6"/>
    <w:rsid w:val="00880CA3"/>
    <w:rsid w:val="00880D24"/>
    <w:rsid w:val="008817B4"/>
    <w:rsid w:val="00882C2B"/>
    <w:rsid w:val="00883C92"/>
    <w:rsid w:val="00883EEA"/>
    <w:rsid w:val="00884297"/>
    <w:rsid w:val="0088454F"/>
    <w:rsid w:val="00884713"/>
    <w:rsid w:val="0088499A"/>
    <w:rsid w:val="00884B33"/>
    <w:rsid w:val="00884E8F"/>
    <w:rsid w:val="00884FF7"/>
    <w:rsid w:val="0088571D"/>
    <w:rsid w:val="00885752"/>
    <w:rsid w:val="008858B3"/>
    <w:rsid w:val="00886BA1"/>
    <w:rsid w:val="00886C2B"/>
    <w:rsid w:val="00887532"/>
    <w:rsid w:val="00887F7B"/>
    <w:rsid w:val="00887FB5"/>
    <w:rsid w:val="008901A9"/>
    <w:rsid w:val="008909D9"/>
    <w:rsid w:val="00890F3F"/>
    <w:rsid w:val="00891A48"/>
    <w:rsid w:val="00891D99"/>
    <w:rsid w:val="00892AD0"/>
    <w:rsid w:val="008939B4"/>
    <w:rsid w:val="00893B14"/>
    <w:rsid w:val="0089436B"/>
    <w:rsid w:val="00894845"/>
    <w:rsid w:val="0089583D"/>
    <w:rsid w:val="00896E5D"/>
    <w:rsid w:val="008976AF"/>
    <w:rsid w:val="00897C52"/>
    <w:rsid w:val="008A09F7"/>
    <w:rsid w:val="008A0C0D"/>
    <w:rsid w:val="008A10DE"/>
    <w:rsid w:val="008A134D"/>
    <w:rsid w:val="008A1CAE"/>
    <w:rsid w:val="008A2576"/>
    <w:rsid w:val="008A2AE4"/>
    <w:rsid w:val="008A2C9E"/>
    <w:rsid w:val="008A34F9"/>
    <w:rsid w:val="008A37E4"/>
    <w:rsid w:val="008A3CC6"/>
    <w:rsid w:val="008A4082"/>
    <w:rsid w:val="008A43C2"/>
    <w:rsid w:val="008A45BC"/>
    <w:rsid w:val="008A5632"/>
    <w:rsid w:val="008A567D"/>
    <w:rsid w:val="008A5DA2"/>
    <w:rsid w:val="008A6021"/>
    <w:rsid w:val="008A61F7"/>
    <w:rsid w:val="008A6559"/>
    <w:rsid w:val="008B0561"/>
    <w:rsid w:val="008B2187"/>
    <w:rsid w:val="008B3694"/>
    <w:rsid w:val="008B37BB"/>
    <w:rsid w:val="008B4648"/>
    <w:rsid w:val="008B4BE4"/>
    <w:rsid w:val="008B53A8"/>
    <w:rsid w:val="008B59E3"/>
    <w:rsid w:val="008B6E4F"/>
    <w:rsid w:val="008B79B3"/>
    <w:rsid w:val="008B7BBF"/>
    <w:rsid w:val="008C0B38"/>
    <w:rsid w:val="008C0B7C"/>
    <w:rsid w:val="008C14C4"/>
    <w:rsid w:val="008C1785"/>
    <w:rsid w:val="008C1F6B"/>
    <w:rsid w:val="008C243C"/>
    <w:rsid w:val="008C289F"/>
    <w:rsid w:val="008C358A"/>
    <w:rsid w:val="008C39E2"/>
    <w:rsid w:val="008C39FC"/>
    <w:rsid w:val="008C3D63"/>
    <w:rsid w:val="008C3E97"/>
    <w:rsid w:val="008C424E"/>
    <w:rsid w:val="008C4779"/>
    <w:rsid w:val="008C4A9B"/>
    <w:rsid w:val="008C4D55"/>
    <w:rsid w:val="008C50F9"/>
    <w:rsid w:val="008C5D48"/>
    <w:rsid w:val="008C6D60"/>
    <w:rsid w:val="008C7057"/>
    <w:rsid w:val="008C7B8F"/>
    <w:rsid w:val="008D08B8"/>
    <w:rsid w:val="008D0B7F"/>
    <w:rsid w:val="008D0E67"/>
    <w:rsid w:val="008D237E"/>
    <w:rsid w:val="008D2B98"/>
    <w:rsid w:val="008D3F7A"/>
    <w:rsid w:val="008D4013"/>
    <w:rsid w:val="008D4579"/>
    <w:rsid w:val="008D4A19"/>
    <w:rsid w:val="008D4DD8"/>
    <w:rsid w:val="008D4F49"/>
    <w:rsid w:val="008D5ECB"/>
    <w:rsid w:val="008D63CC"/>
    <w:rsid w:val="008D66A3"/>
    <w:rsid w:val="008D6B7C"/>
    <w:rsid w:val="008D6C03"/>
    <w:rsid w:val="008D6DC0"/>
    <w:rsid w:val="008D7BAD"/>
    <w:rsid w:val="008E0D0F"/>
    <w:rsid w:val="008E0F6E"/>
    <w:rsid w:val="008E10B8"/>
    <w:rsid w:val="008E1376"/>
    <w:rsid w:val="008E2009"/>
    <w:rsid w:val="008E20A9"/>
    <w:rsid w:val="008E215D"/>
    <w:rsid w:val="008E334F"/>
    <w:rsid w:val="008E3C50"/>
    <w:rsid w:val="008E4108"/>
    <w:rsid w:val="008E4BCE"/>
    <w:rsid w:val="008E4BFD"/>
    <w:rsid w:val="008E4E2D"/>
    <w:rsid w:val="008E5317"/>
    <w:rsid w:val="008E5849"/>
    <w:rsid w:val="008E5A41"/>
    <w:rsid w:val="008E5CD8"/>
    <w:rsid w:val="008E6319"/>
    <w:rsid w:val="008E639D"/>
    <w:rsid w:val="008E71BF"/>
    <w:rsid w:val="008F003B"/>
    <w:rsid w:val="008F03EC"/>
    <w:rsid w:val="008F04DB"/>
    <w:rsid w:val="008F07CE"/>
    <w:rsid w:val="008F15DD"/>
    <w:rsid w:val="008F1E79"/>
    <w:rsid w:val="008F23B3"/>
    <w:rsid w:val="008F25C0"/>
    <w:rsid w:val="008F26D9"/>
    <w:rsid w:val="008F3094"/>
    <w:rsid w:val="008F3482"/>
    <w:rsid w:val="008F3581"/>
    <w:rsid w:val="008F35D4"/>
    <w:rsid w:val="008F3BE9"/>
    <w:rsid w:val="008F3F68"/>
    <w:rsid w:val="008F43FF"/>
    <w:rsid w:val="008F4871"/>
    <w:rsid w:val="008F498E"/>
    <w:rsid w:val="008F6468"/>
    <w:rsid w:val="008F6E0E"/>
    <w:rsid w:val="008F6F62"/>
    <w:rsid w:val="008F72D2"/>
    <w:rsid w:val="008F735E"/>
    <w:rsid w:val="008F7F9B"/>
    <w:rsid w:val="00900477"/>
    <w:rsid w:val="00900525"/>
    <w:rsid w:val="009007BA"/>
    <w:rsid w:val="009007C9"/>
    <w:rsid w:val="00900F2D"/>
    <w:rsid w:val="009012D1"/>
    <w:rsid w:val="00901607"/>
    <w:rsid w:val="009016B8"/>
    <w:rsid w:val="0090171F"/>
    <w:rsid w:val="00901725"/>
    <w:rsid w:val="0090180B"/>
    <w:rsid w:val="00901F4B"/>
    <w:rsid w:val="0090281A"/>
    <w:rsid w:val="00902856"/>
    <w:rsid w:val="00902B32"/>
    <w:rsid w:val="00902C52"/>
    <w:rsid w:val="00902D30"/>
    <w:rsid w:val="00903425"/>
    <w:rsid w:val="009036D8"/>
    <w:rsid w:val="009038EE"/>
    <w:rsid w:val="00903D09"/>
    <w:rsid w:val="00904673"/>
    <w:rsid w:val="009050D3"/>
    <w:rsid w:val="009055D7"/>
    <w:rsid w:val="00905A70"/>
    <w:rsid w:val="00906082"/>
    <w:rsid w:val="00906C74"/>
    <w:rsid w:val="00907D2D"/>
    <w:rsid w:val="009108D9"/>
    <w:rsid w:val="009114A9"/>
    <w:rsid w:val="00911C8B"/>
    <w:rsid w:val="00911DD2"/>
    <w:rsid w:val="00912444"/>
    <w:rsid w:val="0091352D"/>
    <w:rsid w:val="0091374E"/>
    <w:rsid w:val="00913C97"/>
    <w:rsid w:val="0091400E"/>
    <w:rsid w:val="0091407D"/>
    <w:rsid w:val="009146C7"/>
    <w:rsid w:val="009148B7"/>
    <w:rsid w:val="0091506D"/>
    <w:rsid w:val="0091594C"/>
    <w:rsid w:val="00915C4D"/>
    <w:rsid w:val="00916224"/>
    <w:rsid w:val="009163D7"/>
    <w:rsid w:val="00916A84"/>
    <w:rsid w:val="00916AA2"/>
    <w:rsid w:val="00917361"/>
    <w:rsid w:val="009176D8"/>
    <w:rsid w:val="009178E7"/>
    <w:rsid w:val="00917C11"/>
    <w:rsid w:val="00917FAA"/>
    <w:rsid w:val="009202F0"/>
    <w:rsid w:val="00920F00"/>
    <w:rsid w:val="009211D7"/>
    <w:rsid w:val="009218FC"/>
    <w:rsid w:val="00921DAD"/>
    <w:rsid w:val="009221AF"/>
    <w:rsid w:val="009225EF"/>
    <w:rsid w:val="0092276B"/>
    <w:rsid w:val="00923764"/>
    <w:rsid w:val="00923CCB"/>
    <w:rsid w:val="0092494E"/>
    <w:rsid w:val="00924FDE"/>
    <w:rsid w:val="00925A38"/>
    <w:rsid w:val="00925D24"/>
    <w:rsid w:val="00925EBA"/>
    <w:rsid w:val="009261FF"/>
    <w:rsid w:val="00926695"/>
    <w:rsid w:val="00926A1E"/>
    <w:rsid w:val="00927360"/>
    <w:rsid w:val="009275ED"/>
    <w:rsid w:val="009301D2"/>
    <w:rsid w:val="009307ED"/>
    <w:rsid w:val="00930873"/>
    <w:rsid w:val="00930CBD"/>
    <w:rsid w:val="00932170"/>
    <w:rsid w:val="00932A7B"/>
    <w:rsid w:val="009330E7"/>
    <w:rsid w:val="009333A5"/>
    <w:rsid w:val="009334F4"/>
    <w:rsid w:val="00934218"/>
    <w:rsid w:val="009342D1"/>
    <w:rsid w:val="009344CE"/>
    <w:rsid w:val="00934ED0"/>
    <w:rsid w:val="00934F0B"/>
    <w:rsid w:val="009351E1"/>
    <w:rsid w:val="00935C32"/>
    <w:rsid w:val="00935F1F"/>
    <w:rsid w:val="009363AF"/>
    <w:rsid w:val="00936732"/>
    <w:rsid w:val="0093677D"/>
    <w:rsid w:val="009368F2"/>
    <w:rsid w:val="009370C1"/>
    <w:rsid w:val="00937193"/>
    <w:rsid w:val="00937EEC"/>
    <w:rsid w:val="00940647"/>
    <w:rsid w:val="0094099F"/>
    <w:rsid w:val="00941411"/>
    <w:rsid w:val="00941918"/>
    <w:rsid w:val="00941CA2"/>
    <w:rsid w:val="00941F33"/>
    <w:rsid w:val="00942B09"/>
    <w:rsid w:val="00942B7A"/>
    <w:rsid w:val="00942F15"/>
    <w:rsid w:val="00942F20"/>
    <w:rsid w:val="00943CE3"/>
    <w:rsid w:val="00943E3D"/>
    <w:rsid w:val="0094408F"/>
    <w:rsid w:val="009443BE"/>
    <w:rsid w:val="00944CAE"/>
    <w:rsid w:val="00945072"/>
    <w:rsid w:val="009459BD"/>
    <w:rsid w:val="00945AAB"/>
    <w:rsid w:val="00945CD1"/>
    <w:rsid w:val="00946410"/>
    <w:rsid w:val="0094691D"/>
    <w:rsid w:val="00947418"/>
    <w:rsid w:val="00947443"/>
    <w:rsid w:val="00947868"/>
    <w:rsid w:val="00950600"/>
    <w:rsid w:val="00950957"/>
    <w:rsid w:val="009515DD"/>
    <w:rsid w:val="0095203A"/>
    <w:rsid w:val="00952D5F"/>
    <w:rsid w:val="00952EF2"/>
    <w:rsid w:val="009539AB"/>
    <w:rsid w:val="009544B4"/>
    <w:rsid w:val="00955030"/>
    <w:rsid w:val="00955370"/>
    <w:rsid w:val="00955574"/>
    <w:rsid w:val="00955FA2"/>
    <w:rsid w:val="00956635"/>
    <w:rsid w:val="0095687E"/>
    <w:rsid w:val="00956978"/>
    <w:rsid w:val="00956F79"/>
    <w:rsid w:val="00957C71"/>
    <w:rsid w:val="00960227"/>
    <w:rsid w:val="0096033B"/>
    <w:rsid w:val="009603D6"/>
    <w:rsid w:val="009603EE"/>
    <w:rsid w:val="00960696"/>
    <w:rsid w:val="00960CA6"/>
    <w:rsid w:val="00960E53"/>
    <w:rsid w:val="00960FEE"/>
    <w:rsid w:val="00961822"/>
    <w:rsid w:val="00962197"/>
    <w:rsid w:val="009622A8"/>
    <w:rsid w:val="00962B24"/>
    <w:rsid w:val="009644D7"/>
    <w:rsid w:val="0096534F"/>
    <w:rsid w:val="0096577D"/>
    <w:rsid w:val="0096599D"/>
    <w:rsid w:val="009659CA"/>
    <w:rsid w:val="00965A5F"/>
    <w:rsid w:val="00965CCB"/>
    <w:rsid w:val="00966085"/>
    <w:rsid w:val="009667CB"/>
    <w:rsid w:val="00966D24"/>
    <w:rsid w:val="00966E62"/>
    <w:rsid w:val="00967712"/>
    <w:rsid w:val="0097036E"/>
    <w:rsid w:val="00970D47"/>
    <w:rsid w:val="009712C7"/>
    <w:rsid w:val="00971A9A"/>
    <w:rsid w:val="00972119"/>
    <w:rsid w:val="0097213E"/>
    <w:rsid w:val="009733C3"/>
    <w:rsid w:val="00973D0A"/>
    <w:rsid w:val="00973E5F"/>
    <w:rsid w:val="00974265"/>
    <w:rsid w:val="00974566"/>
    <w:rsid w:val="009749E7"/>
    <w:rsid w:val="00974B00"/>
    <w:rsid w:val="0097510A"/>
    <w:rsid w:val="009751DA"/>
    <w:rsid w:val="00975341"/>
    <w:rsid w:val="00975756"/>
    <w:rsid w:val="00976B20"/>
    <w:rsid w:val="009775B8"/>
    <w:rsid w:val="00977EA6"/>
    <w:rsid w:val="00980607"/>
    <w:rsid w:val="00981989"/>
    <w:rsid w:val="00981E2C"/>
    <w:rsid w:val="0098335B"/>
    <w:rsid w:val="00984684"/>
    <w:rsid w:val="00984E9F"/>
    <w:rsid w:val="009852B4"/>
    <w:rsid w:val="0098575B"/>
    <w:rsid w:val="009858FC"/>
    <w:rsid w:val="00985AFB"/>
    <w:rsid w:val="00986531"/>
    <w:rsid w:val="00986D98"/>
    <w:rsid w:val="0098728D"/>
    <w:rsid w:val="00987650"/>
    <w:rsid w:val="00987685"/>
    <w:rsid w:val="00987B4B"/>
    <w:rsid w:val="009900C9"/>
    <w:rsid w:val="00990904"/>
    <w:rsid w:val="009909D9"/>
    <w:rsid w:val="00990D12"/>
    <w:rsid w:val="0099197F"/>
    <w:rsid w:val="00991E80"/>
    <w:rsid w:val="00992524"/>
    <w:rsid w:val="0099295C"/>
    <w:rsid w:val="00992D87"/>
    <w:rsid w:val="00993326"/>
    <w:rsid w:val="00993E87"/>
    <w:rsid w:val="0099433E"/>
    <w:rsid w:val="00994D42"/>
    <w:rsid w:val="00996191"/>
    <w:rsid w:val="00996463"/>
    <w:rsid w:val="00996AA4"/>
    <w:rsid w:val="00996F9F"/>
    <w:rsid w:val="009975D6"/>
    <w:rsid w:val="00997A29"/>
    <w:rsid w:val="009A0579"/>
    <w:rsid w:val="009A09F2"/>
    <w:rsid w:val="009A13D7"/>
    <w:rsid w:val="009A14D7"/>
    <w:rsid w:val="009A250F"/>
    <w:rsid w:val="009A2D39"/>
    <w:rsid w:val="009A47EC"/>
    <w:rsid w:val="009A4EC8"/>
    <w:rsid w:val="009A55DF"/>
    <w:rsid w:val="009A56B7"/>
    <w:rsid w:val="009A5BB8"/>
    <w:rsid w:val="009A5E28"/>
    <w:rsid w:val="009A6069"/>
    <w:rsid w:val="009A6264"/>
    <w:rsid w:val="009A6542"/>
    <w:rsid w:val="009A6B61"/>
    <w:rsid w:val="009A6FAC"/>
    <w:rsid w:val="009B083B"/>
    <w:rsid w:val="009B0A8D"/>
    <w:rsid w:val="009B1344"/>
    <w:rsid w:val="009B1821"/>
    <w:rsid w:val="009B1AE8"/>
    <w:rsid w:val="009B1BC9"/>
    <w:rsid w:val="009B22A5"/>
    <w:rsid w:val="009B2526"/>
    <w:rsid w:val="009B27FF"/>
    <w:rsid w:val="009B298A"/>
    <w:rsid w:val="009B2C42"/>
    <w:rsid w:val="009B374A"/>
    <w:rsid w:val="009B3F92"/>
    <w:rsid w:val="009B4E0E"/>
    <w:rsid w:val="009B6610"/>
    <w:rsid w:val="009B6842"/>
    <w:rsid w:val="009B76BB"/>
    <w:rsid w:val="009B7884"/>
    <w:rsid w:val="009B7AAF"/>
    <w:rsid w:val="009C0637"/>
    <w:rsid w:val="009C0FA3"/>
    <w:rsid w:val="009C1071"/>
    <w:rsid w:val="009C10EB"/>
    <w:rsid w:val="009C2FE4"/>
    <w:rsid w:val="009C329B"/>
    <w:rsid w:val="009C3A4C"/>
    <w:rsid w:val="009C3F0E"/>
    <w:rsid w:val="009C41F9"/>
    <w:rsid w:val="009C4A14"/>
    <w:rsid w:val="009C5759"/>
    <w:rsid w:val="009C60B0"/>
    <w:rsid w:val="009C6631"/>
    <w:rsid w:val="009C6985"/>
    <w:rsid w:val="009C706F"/>
    <w:rsid w:val="009C71AA"/>
    <w:rsid w:val="009C74AD"/>
    <w:rsid w:val="009C7544"/>
    <w:rsid w:val="009C7621"/>
    <w:rsid w:val="009C7C28"/>
    <w:rsid w:val="009D0147"/>
    <w:rsid w:val="009D0346"/>
    <w:rsid w:val="009D03B6"/>
    <w:rsid w:val="009D1612"/>
    <w:rsid w:val="009D19D6"/>
    <w:rsid w:val="009D1C3B"/>
    <w:rsid w:val="009D1CBF"/>
    <w:rsid w:val="009D21B2"/>
    <w:rsid w:val="009D29A4"/>
    <w:rsid w:val="009D29C0"/>
    <w:rsid w:val="009D2A01"/>
    <w:rsid w:val="009D2D3D"/>
    <w:rsid w:val="009D2F2F"/>
    <w:rsid w:val="009D3057"/>
    <w:rsid w:val="009D3A0B"/>
    <w:rsid w:val="009D3A1E"/>
    <w:rsid w:val="009D3D27"/>
    <w:rsid w:val="009D3D69"/>
    <w:rsid w:val="009D46B7"/>
    <w:rsid w:val="009D4807"/>
    <w:rsid w:val="009D4BD3"/>
    <w:rsid w:val="009D4C6F"/>
    <w:rsid w:val="009D4FBA"/>
    <w:rsid w:val="009D5B99"/>
    <w:rsid w:val="009D5BCF"/>
    <w:rsid w:val="009D5D7A"/>
    <w:rsid w:val="009D6178"/>
    <w:rsid w:val="009D634E"/>
    <w:rsid w:val="009E02D6"/>
    <w:rsid w:val="009E03D7"/>
    <w:rsid w:val="009E047B"/>
    <w:rsid w:val="009E0570"/>
    <w:rsid w:val="009E0606"/>
    <w:rsid w:val="009E096E"/>
    <w:rsid w:val="009E09D2"/>
    <w:rsid w:val="009E1135"/>
    <w:rsid w:val="009E12DD"/>
    <w:rsid w:val="009E1494"/>
    <w:rsid w:val="009E1C2A"/>
    <w:rsid w:val="009E1C85"/>
    <w:rsid w:val="009E1DEB"/>
    <w:rsid w:val="009E3B4D"/>
    <w:rsid w:val="009E3DC2"/>
    <w:rsid w:val="009E3E7E"/>
    <w:rsid w:val="009E4173"/>
    <w:rsid w:val="009E431C"/>
    <w:rsid w:val="009E5B4E"/>
    <w:rsid w:val="009E6B02"/>
    <w:rsid w:val="009E6CF3"/>
    <w:rsid w:val="009E709F"/>
    <w:rsid w:val="009E72BB"/>
    <w:rsid w:val="009F081E"/>
    <w:rsid w:val="009F0912"/>
    <w:rsid w:val="009F12BB"/>
    <w:rsid w:val="009F18F2"/>
    <w:rsid w:val="009F1A2F"/>
    <w:rsid w:val="009F1FC6"/>
    <w:rsid w:val="009F23B8"/>
    <w:rsid w:val="009F25A0"/>
    <w:rsid w:val="009F297D"/>
    <w:rsid w:val="009F2F1D"/>
    <w:rsid w:val="009F37D2"/>
    <w:rsid w:val="009F382F"/>
    <w:rsid w:val="009F412D"/>
    <w:rsid w:val="009F4875"/>
    <w:rsid w:val="009F5710"/>
    <w:rsid w:val="009F5F02"/>
    <w:rsid w:val="009F60B3"/>
    <w:rsid w:val="009F63EA"/>
    <w:rsid w:val="009F640F"/>
    <w:rsid w:val="009F678D"/>
    <w:rsid w:val="009F7314"/>
    <w:rsid w:val="009F73C9"/>
    <w:rsid w:val="009F78D0"/>
    <w:rsid w:val="009F7D8E"/>
    <w:rsid w:val="009F7E70"/>
    <w:rsid w:val="00A00C9F"/>
    <w:rsid w:val="00A011FE"/>
    <w:rsid w:val="00A013E1"/>
    <w:rsid w:val="00A01ECA"/>
    <w:rsid w:val="00A0259A"/>
    <w:rsid w:val="00A02651"/>
    <w:rsid w:val="00A02D1D"/>
    <w:rsid w:val="00A03A8C"/>
    <w:rsid w:val="00A03F5E"/>
    <w:rsid w:val="00A0408A"/>
    <w:rsid w:val="00A046B5"/>
    <w:rsid w:val="00A06014"/>
    <w:rsid w:val="00A062C6"/>
    <w:rsid w:val="00A0637F"/>
    <w:rsid w:val="00A06396"/>
    <w:rsid w:val="00A0702B"/>
    <w:rsid w:val="00A07214"/>
    <w:rsid w:val="00A07F82"/>
    <w:rsid w:val="00A10029"/>
    <w:rsid w:val="00A10302"/>
    <w:rsid w:val="00A10603"/>
    <w:rsid w:val="00A1077D"/>
    <w:rsid w:val="00A107AF"/>
    <w:rsid w:val="00A11231"/>
    <w:rsid w:val="00A11EEB"/>
    <w:rsid w:val="00A11F59"/>
    <w:rsid w:val="00A13A28"/>
    <w:rsid w:val="00A13AB4"/>
    <w:rsid w:val="00A148D5"/>
    <w:rsid w:val="00A14D46"/>
    <w:rsid w:val="00A14DAB"/>
    <w:rsid w:val="00A15278"/>
    <w:rsid w:val="00A15C16"/>
    <w:rsid w:val="00A162FD"/>
    <w:rsid w:val="00A16323"/>
    <w:rsid w:val="00A17102"/>
    <w:rsid w:val="00A179CB"/>
    <w:rsid w:val="00A20739"/>
    <w:rsid w:val="00A20F9B"/>
    <w:rsid w:val="00A21454"/>
    <w:rsid w:val="00A214C2"/>
    <w:rsid w:val="00A21604"/>
    <w:rsid w:val="00A221F2"/>
    <w:rsid w:val="00A225BF"/>
    <w:rsid w:val="00A22948"/>
    <w:rsid w:val="00A22B74"/>
    <w:rsid w:val="00A2399F"/>
    <w:rsid w:val="00A23ACB"/>
    <w:rsid w:val="00A23BEE"/>
    <w:rsid w:val="00A24093"/>
    <w:rsid w:val="00A245BA"/>
    <w:rsid w:val="00A252F0"/>
    <w:rsid w:val="00A258AE"/>
    <w:rsid w:val="00A25A58"/>
    <w:rsid w:val="00A26126"/>
    <w:rsid w:val="00A264FE"/>
    <w:rsid w:val="00A265FA"/>
    <w:rsid w:val="00A26819"/>
    <w:rsid w:val="00A26CAA"/>
    <w:rsid w:val="00A26DC9"/>
    <w:rsid w:val="00A27121"/>
    <w:rsid w:val="00A27173"/>
    <w:rsid w:val="00A27391"/>
    <w:rsid w:val="00A27ACB"/>
    <w:rsid w:val="00A27B69"/>
    <w:rsid w:val="00A30529"/>
    <w:rsid w:val="00A30D0A"/>
    <w:rsid w:val="00A315F4"/>
    <w:rsid w:val="00A31C7F"/>
    <w:rsid w:val="00A32438"/>
    <w:rsid w:val="00A32750"/>
    <w:rsid w:val="00A32AF1"/>
    <w:rsid w:val="00A3406F"/>
    <w:rsid w:val="00A34D25"/>
    <w:rsid w:val="00A35055"/>
    <w:rsid w:val="00A35983"/>
    <w:rsid w:val="00A37EA3"/>
    <w:rsid w:val="00A4076F"/>
    <w:rsid w:val="00A40967"/>
    <w:rsid w:val="00A41083"/>
    <w:rsid w:val="00A41884"/>
    <w:rsid w:val="00A41904"/>
    <w:rsid w:val="00A41913"/>
    <w:rsid w:val="00A41C7B"/>
    <w:rsid w:val="00A420B8"/>
    <w:rsid w:val="00A423BF"/>
    <w:rsid w:val="00A42D6A"/>
    <w:rsid w:val="00A42EEF"/>
    <w:rsid w:val="00A430E5"/>
    <w:rsid w:val="00A432FA"/>
    <w:rsid w:val="00A43323"/>
    <w:rsid w:val="00A441F0"/>
    <w:rsid w:val="00A444D4"/>
    <w:rsid w:val="00A4494D"/>
    <w:rsid w:val="00A44A14"/>
    <w:rsid w:val="00A4550C"/>
    <w:rsid w:val="00A458CA"/>
    <w:rsid w:val="00A458E6"/>
    <w:rsid w:val="00A45EF2"/>
    <w:rsid w:val="00A46ACF"/>
    <w:rsid w:val="00A46BB6"/>
    <w:rsid w:val="00A470FC"/>
    <w:rsid w:val="00A47338"/>
    <w:rsid w:val="00A474FC"/>
    <w:rsid w:val="00A47B3C"/>
    <w:rsid w:val="00A5089C"/>
    <w:rsid w:val="00A50A1B"/>
    <w:rsid w:val="00A512D1"/>
    <w:rsid w:val="00A518F6"/>
    <w:rsid w:val="00A51B74"/>
    <w:rsid w:val="00A51C83"/>
    <w:rsid w:val="00A523E9"/>
    <w:rsid w:val="00A52BCE"/>
    <w:rsid w:val="00A53278"/>
    <w:rsid w:val="00A53CB1"/>
    <w:rsid w:val="00A53D65"/>
    <w:rsid w:val="00A54EA4"/>
    <w:rsid w:val="00A5567D"/>
    <w:rsid w:val="00A556CC"/>
    <w:rsid w:val="00A55725"/>
    <w:rsid w:val="00A55E67"/>
    <w:rsid w:val="00A56139"/>
    <w:rsid w:val="00A56206"/>
    <w:rsid w:val="00A56DA0"/>
    <w:rsid w:val="00A56F7A"/>
    <w:rsid w:val="00A572DF"/>
    <w:rsid w:val="00A575AE"/>
    <w:rsid w:val="00A609F9"/>
    <w:rsid w:val="00A60F35"/>
    <w:rsid w:val="00A61112"/>
    <w:rsid w:val="00A61FFB"/>
    <w:rsid w:val="00A62B5A"/>
    <w:rsid w:val="00A63C54"/>
    <w:rsid w:val="00A64110"/>
    <w:rsid w:val="00A64386"/>
    <w:rsid w:val="00A64B23"/>
    <w:rsid w:val="00A65376"/>
    <w:rsid w:val="00A65944"/>
    <w:rsid w:val="00A6637B"/>
    <w:rsid w:val="00A663F4"/>
    <w:rsid w:val="00A6694B"/>
    <w:rsid w:val="00A66F06"/>
    <w:rsid w:val="00A674AA"/>
    <w:rsid w:val="00A70514"/>
    <w:rsid w:val="00A70B76"/>
    <w:rsid w:val="00A71171"/>
    <w:rsid w:val="00A71255"/>
    <w:rsid w:val="00A719A1"/>
    <w:rsid w:val="00A741B0"/>
    <w:rsid w:val="00A74BBB"/>
    <w:rsid w:val="00A75991"/>
    <w:rsid w:val="00A75FC7"/>
    <w:rsid w:val="00A779C5"/>
    <w:rsid w:val="00A77DC8"/>
    <w:rsid w:val="00A801C8"/>
    <w:rsid w:val="00A80D9B"/>
    <w:rsid w:val="00A8100E"/>
    <w:rsid w:val="00A811A9"/>
    <w:rsid w:val="00A8137E"/>
    <w:rsid w:val="00A81627"/>
    <w:rsid w:val="00A817B0"/>
    <w:rsid w:val="00A8219A"/>
    <w:rsid w:val="00A825D6"/>
    <w:rsid w:val="00A828FC"/>
    <w:rsid w:val="00A82E45"/>
    <w:rsid w:val="00A830D2"/>
    <w:rsid w:val="00A83F70"/>
    <w:rsid w:val="00A8417F"/>
    <w:rsid w:val="00A85DC7"/>
    <w:rsid w:val="00A86106"/>
    <w:rsid w:val="00A86284"/>
    <w:rsid w:val="00A87050"/>
    <w:rsid w:val="00A87238"/>
    <w:rsid w:val="00A9053E"/>
    <w:rsid w:val="00A9079A"/>
    <w:rsid w:val="00A9089E"/>
    <w:rsid w:val="00A9173F"/>
    <w:rsid w:val="00A91C54"/>
    <w:rsid w:val="00A928E9"/>
    <w:rsid w:val="00A92C06"/>
    <w:rsid w:val="00A9338E"/>
    <w:rsid w:val="00A93AA6"/>
    <w:rsid w:val="00A93D01"/>
    <w:rsid w:val="00A93FC9"/>
    <w:rsid w:val="00A9436D"/>
    <w:rsid w:val="00A943AC"/>
    <w:rsid w:val="00A94BBE"/>
    <w:rsid w:val="00A95715"/>
    <w:rsid w:val="00A95813"/>
    <w:rsid w:val="00A9581F"/>
    <w:rsid w:val="00A9597C"/>
    <w:rsid w:val="00A95ED0"/>
    <w:rsid w:val="00A9681D"/>
    <w:rsid w:val="00AA02D4"/>
    <w:rsid w:val="00AA0878"/>
    <w:rsid w:val="00AA088F"/>
    <w:rsid w:val="00AA0AEC"/>
    <w:rsid w:val="00AA0F81"/>
    <w:rsid w:val="00AA1145"/>
    <w:rsid w:val="00AA1844"/>
    <w:rsid w:val="00AA1A37"/>
    <w:rsid w:val="00AA1D8D"/>
    <w:rsid w:val="00AA268B"/>
    <w:rsid w:val="00AA3122"/>
    <w:rsid w:val="00AA3933"/>
    <w:rsid w:val="00AA3BB2"/>
    <w:rsid w:val="00AA3C62"/>
    <w:rsid w:val="00AA4585"/>
    <w:rsid w:val="00AA45B5"/>
    <w:rsid w:val="00AA4D03"/>
    <w:rsid w:val="00AA6716"/>
    <w:rsid w:val="00AA6A84"/>
    <w:rsid w:val="00AA6D9C"/>
    <w:rsid w:val="00AA78C5"/>
    <w:rsid w:val="00AA7B91"/>
    <w:rsid w:val="00AB0FB0"/>
    <w:rsid w:val="00AB10DB"/>
    <w:rsid w:val="00AB13D0"/>
    <w:rsid w:val="00AB181E"/>
    <w:rsid w:val="00AB1B4D"/>
    <w:rsid w:val="00AB1EA4"/>
    <w:rsid w:val="00AB1F7B"/>
    <w:rsid w:val="00AB2B85"/>
    <w:rsid w:val="00AB4509"/>
    <w:rsid w:val="00AB4872"/>
    <w:rsid w:val="00AB5A1A"/>
    <w:rsid w:val="00AB5ABF"/>
    <w:rsid w:val="00AB5B14"/>
    <w:rsid w:val="00AB600C"/>
    <w:rsid w:val="00AB61B8"/>
    <w:rsid w:val="00AB652A"/>
    <w:rsid w:val="00AB65B7"/>
    <w:rsid w:val="00AB65C3"/>
    <w:rsid w:val="00AB7047"/>
    <w:rsid w:val="00AB7058"/>
    <w:rsid w:val="00AB7148"/>
    <w:rsid w:val="00AB7353"/>
    <w:rsid w:val="00AB7594"/>
    <w:rsid w:val="00AB7829"/>
    <w:rsid w:val="00AC0E1A"/>
    <w:rsid w:val="00AC1A16"/>
    <w:rsid w:val="00AC1F61"/>
    <w:rsid w:val="00AC23FE"/>
    <w:rsid w:val="00AC2BB0"/>
    <w:rsid w:val="00AC32A9"/>
    <w:rsid w:val="00AC3CC1"/>
    <w:rsid w:val="00AC4326"/>
    <w:rsid w:val="00AC447F"/>
    <w:rsid w:val="00AC44A3"/>
    <w:rsid w:val="00AC516C"/>
    <w:rsid w:val="00AC51CE"/>
    <w:rsid w:val="00AC658C"/>
    <w:rsid w:val="00AC6953"/>
    <w:rsid w:val="00AC7545"/>
    <w:rsid w:val="00AC7A93"/>
    <w:rsid w:val="00AC7D2E"/>
    <w:rsid w:val="00AD0D44"/>
    <w:rsid w:val="00AD0DE3"/>
    <w:rsid w:val="00AD0E3E"/>
    <w:rsid w:val="00AD11CD"/>
    <w:rsid w:val="00AD154D"/>
    <w:rsid w:val="00AD1C05"/>
    <w:rsid w:val="00AD2D30"/>
    <w:rsid w:val="00AD341D"/>
    <w:rsid w:val="00AD3F0E"/>
    <w:rsid w:val="00AD4139"/>
    <w:rsid w:val="00AD416E"/>
    <w:rsid w:val="00AD462E"/>
    <w:rsid w:val="00AD47E9"/>
    <w:rsid w:val="00AD4DE8"/>
    <w:rsid w:val="00AD4E9B"/>
    <w:rsid w:val="00AD521E"/>
    <w:rsid w:val="00AD53C6"/>
    <w:rsid w:val="00AD765C"/>
    <w:rsid w:val="00AD7853"/>
    <w:rsid w:val="00AD786D"/>
    <w:rsid w:val="00AE05CD"/>
    <w:rsid w:val="00AE0BF3"/>
    <w:rsid w:val="00AE1773"/>
    <w:rsid w:val="00AE1A1F"/>
    <w:rsid w:val="00AE227E"/>
    <w:rsid w:val="00AE244A"/>
    <w:rsid w:val="00AE2A71"/>
    <w:rsid w:val="00AE3211"/>
    <w:rsid w:val="00AE326D"/>
    <w:rsid w:val="00AE33A4"/>
    <w:rsid w:val="00AE40B9"/>
    <w:rsid w:val="00AE41A2"/>
    <w:rsid w:val="00AE4680"/>
    <w:rsid w:val="00AE49F0"/>
    <w:rsid w:val="00AE4F0D"/>
    <w:rsid w:val="00AE4F2B"/>
    <w:rsid w:val="00AE51C6"/>
    <w:rsid w:val="00AE5602"/>
    <w:rsid w:val="00AE5872"/>
    <w:rsid w:val="00AE587A"/>
    <w:rsid w:val="00AE625B"/>
    <w:rsid w:val="00AE63AB"/>
    <w:rsid w:val="00AE6522"/>
    <w:rsid w:val="00AE667A"/>
    <w:rsid w:val="00AE6AF2"/>
    <w:rsid w:val="00AE70C9"/>
    <w:rsid w:val="00AE7337"/>
    <w:rsid w:val="00AE783B"/>
    <w:rsid w:val="00AE78BE"/>
    <w:rsid w:val="00AE7CB3"/>
    <w:rsid w:val="00AE7ECB"/>
    <w:rsid w:val="00AF072D"/>
    <w:rsid w:val="00AF0C5A"/>
    <w:rsid w:val="00AF12DF"/>
    <w:rsid w:val="00AF16A0"/>
    <w:rsid w:val="00AF207C"/>
    <w:rsid w:val="00AF20C1"/>
    <w:rsid w:val="00AF24D8"/>
    <w:rsid w:val="00AF2C20"/>
    <w:rsid w:val="00AF2FD3"/>
    <w:rsid w:val="00AF3658"/>
    <w:rsid w:val="00AF3675"/>
    <w:rsid w:val="00AF36A0"/>
    <w:rsid w:val="00AF43C1"/>
    <w:rsid w:val="00AF4749"/>
    <w:rsid w:val="00AF4817"/>
    <w:rsid w:val="00AF4D45"/>
    <w:rsid w:val="00AF4F5A"/>
    <w:rsid w:val="00AF5987"/>
    <w:rsid w:val="00AF64BB"/>
    <w:rsid w:val="00AF69D7"/>
    <w:rsid w:val="00AF7618"/>
    <w:rsid w:val="00AF763F"/>
    <w:rsid w:val="00B00169"/>
    <w:rsid w:val="00B0045C"/>
    <w:rsid w:val="00B00AE6"/>
    <w:rsid w:val="00B01A26"/>
    <w:rsid w:val="00B01A85"/>
    <w:rsid w:val="00B01DB2"/>
    <w:rsid w:val="00B02121"/>
    <w:rsid w:val="00B02E6E"/>
    <w:rsid w:val="00B0301D"/>
    <w:rsid w:val="00B0305D"/>
    <w:rsid w:val="00B04988"/>
    <w:rsid w:val="00B04BA3"/>
    <w:rsid w:val="00B051C3"/>
    <w:rsid w:val="00B058CE"/>
    <w:rsid w:val="00B05C30"/>
    <w:rsid w:val="00B05FA1"/>
    <w:rsid w:val="00B06175"/>
    <w:rsid w:val="00B06257"/>
    <w:rsid w:val="00B06B81"/>
    <w:rsid w:val="00B07376"/>
    <w:rsid w:val="00B07AB3"/>
    <w:rsid w:val="00B10027"/>
    <w:rsid w:val="00B10081"/>
    <w:rsid w:val="00B10199"/>
    <w:rsid w:val="00B11591"/>
    <w:rsid w:val="00B117C1"/>
    <w:rsid w:val="00B11C5C"/>
    <w:rsid w:val="00B11DD6"/>
    <w:rsid w:val="00B1264D"/>
    <w:rsid w:val="00B1295A"/>
    <w:rsid w:val="00B12B90"/>
    <w:rsid w:val="00B135C4"/>
    <w:rsid w:val="00B135E7"/>
    <w:rsid w:val="00B139A8"/>
    <w:rsid w:val="00B141AD"/>
    <w:rsid w:val="00B14642"/>
    <w:rsid w:val="00B14984"/>
    <w:rsid w:val="00B14CD7"/>
    <w:rsid w:val="00B152A1"/>
    <w:rsid w:val="00B1535E"/>
    <w:rsid w:val="00B15369"/>
    <w:rsid w:val="00B154FD"/>
    <w:rsid w:val="00B159BF"/>
    <w:rsid w:val="00B15A61"/>
    <w:rsid w:val="00B15CB9"/>
    <w:rsid w:val="00B15FCD"/>
    <w:rsid w:val="00B16273"/>
    <w:rsid w:val="00B16AF8"/>
    <w:rsid w:val="00B17487"/>
    <w:rsid w:val="00B17E54"/>
    <w:rsid w:val="00B202BB"/>
    <w:rsid w:val="00B20BF5"/>
    <w:rsid w:val="00B210AA"/>
    <w:rsid w:val="00B21225"/>
    <w:rsid w:val="00B218DA"/>
    <w:rsid w:val="00B2224C"/>
    <w:rsid w:val="00B22C04"/>
    <w:rsid w:val="00B2386C"/>
    <w:rsid w:val="00B23D7F"/>
    <w:rsid w:val="00B23DF3"/>
    <w:rsid w:val="00B24391"/>
    <w:rsid w:val="00B24791"/>
    <w:rsid w:val="00B24E63"/>
    <w:rsid w:val="00B25EEA"/>
    <w:rsid w:val="00B265FC"/>
    <w:rsid w:val="00B2673E"/>
    <w:rsid w:val="00B26EFF"/>
    <w:rsid w:val="00B27922"/>
    <w:rsid w:val="00B27D4E"/>
    <w:rsid w:val="00B302AB"/>
    <w:rsid w:val="00B303EF"/>
    <w:rsid w:val="00B314B2"/>
    <w:rsid w:val="00B3159E"/>
    <w:rsid w:val="00B31604"/>
    <w:rsid w:val="00B31699"/>
    <w:rsid w:val="00B31D4B"/>
    <w:rsid w:val="00B3228D"/>
    <w:rsid w:val="00B3307A"/>
    <w:rsid w:val="00B330C8"/>
    <w:rsid w:val="00B3458C"/>
    <w:rsid w:val="00B3463B"/>
    <w:rsid w:val="00B35E9E"/>
    <w:rsid w:val="00B36E5C"/>
    <w:rsid w:val="00B40943"/>
    <w:rsid w:val="00B40BDB"/>
    <w:rsid w:val="00B40EC3"/>
    <w:rsid w:val="00B410D3"/>
    <w:rsid w:val="00B418CD"/>
    <w:rsid w:val="00B41985"/>
    <w:rsid w:val="00B41B2B"/>
    <w:rsid w:val="00B42262"/>
    <w:rsid w:val="00B42319"/>
    <w:rsid w:val="00B427B9"/>
    <w:rsid w:val="00B43857"/>
    <w:rsid w:val="00B44966"/>
    <w:rsid w:val="00B44B7E"/>
    <w:rsid w:val="00B457C3"/>
    <w:rsid w:val="00B458D8"/>
    <w:rsid w:val="00B45934"/>
    <w:rsid w:val="00B45B29"/>
    <w:rsid w:val="00B4643C"/>
    <w:rsid w:val="00B4647A"/>
    <w:rsid w:val="00B47730"/>
    <w:rsid w:val="00B47995"/>
    <w:rsid w:val="00B47C03"/>
    <w:rsid w:val="00B50B19"/>
    <w:rsid w:val="00B517D6"/>
    <w:rsid w:val="00B518D0"/>
    <w:rsid w:val="00B53765"/>
    <w:rsid w:val="00B538C6"/>
    <w:rsid w:val="00B53AA0"/>
    <w:rsid w:val="00B542B7"/>
    <w:rsid w:val="00B54AF3"/>
    <w:rsid w:val="00B5509A"/>
    <w:rsid w:val="00B5518B"/>
    <w:rsid w:val="00B57FAB"/>
    <w:rsid w:val="00B601A2"/>
    <w:rsid w:val="00B601CE"/>
    <w:rsid w:val="00B6129B"/>
    <w:rsid w:val="00B61A94"/>
    <w:rsid w:val="00B61F95"/>
    <w:rsid w:val="00B6201E"/>
    <w:rsid w:val="00B63A7C"/>
    <w:rsid w:val="00B63D26"/>
    <w:rsid w:val="00B654DB"/>
    <w:rsid w:val="00B659FA"/>
    <w:rsid w:val="00B65AE2"/>
    <w:rsid w:val="00B66953"/>
    <w:rsid w:val="00B66ED8"/>
    <w:rsid w:val="00B672DD"/>
    <w:rsid w:val="00B674D9"/>
    <w:rsid w:val="00B701CF"/>
    <w:rsid w:val="00B704C0"/>
    <w:rsid w:val="00B72057"/>
    <w:rsid w:val="00B7215F"/>
    <w:rsid w:val="00B723D1"/>
    <w:rsid w:val="00B729D7"/>
    <w:rsid w:val="00B72D49"/>
    <w:rsid w:val="00B730CB"/>
    <w:rsid w:val="00B734D7"/>
    <w:rsid w:val="00B73929"/>
    <w:rsid w:val="00B73979"/>
    <w:rsid w:val="00B754D6"/>
    <w:rsid w:val="00B75B11"/>
    <w:rsid w:val="00B76108"/>
    <w:rsid w:val="00B761C2"/>
    <w:rsid w:val="00B763CB"/>
    <w:rsid w:val="00B767CE"/>
    <w:rsid w:val="00B76868"/>
    <w:rsid w:val="00B77202"/>
    <w:rsid w:val="00B77B7B"/>
    <w:rsid w:val="00B77F23"/>
    <w:rsid w:val="00B8022F"/>
    <w:rsid w:val="00B80512"/>
    <w:rsid w:val="00B81C7B"/>
    <w:rsid w:val="00B81D4C"/>
    <w:rsid w:val="00B8205A"/>
    <w:rsid w:val="00B82344"/>
    <w:rsid w:val="00B8244F"/>
    <w:rsid w:val="00B83108"/>
    <w:rsid w:val="00B8344E"/>
    <w:rsid w:val="00B837DB"/>
    <w:rsid w:val="00B83916"/>
    <w:rsid w:val="00B86088"/>
    <w:rsid w:val="00B86C4D"/>
    <w:rsid w:val="00B8734B"/>
    <w:rsid w:val="00B87513"/>
    <w:rsid w:val="00B877D9"/>
    <w:rsid w:val="00B87CFA"/>
    <w:rsid w:val="00B87EAD"/>
    <w:rsid w:val="00B905DF"/>
    <w:rsid w:val="00B905F1"/>
    <w:rsid w:val="00B92403"/>
    <w:rsid w:val="00B92461"/>
    <w:rsid w:val="00B92BA5"/>
    <w:rsid w:val="00B92BE5"/>
    <w:rsid w:val="00B92CF6"/>
    <w:rsid w:val="00B9355E"/>
    <w:rsid w:val="00B943B3"/>
    <w:rsid w:val="00B957CD"/>
    <w:rsid w:val="00B95A6F"/>
    <w:rsid w:val="00B95E53"/>
    <w:rsid w:val="00B96629"/>
    <w:rsid w:val="00B97058"/>
    <w:rsid w:val="00B977ED"/>
    <w:rsid w:val="00B97F28"/>
    <w:rsid w:val="00BA0264"/>
    <w:rsid w:val="00BA0289"/>
    <w:rsid w:val="00BA0E3C"/>
    <w:rsid w:val="00BA25B0"/>
    <w:rsid w:val="00BA28D4"/>
    <w:rsid w:val="00BA2B5E"/>
    <w:rsid w:val="00BA2FDD"/>
    <w:rsid w:val="00BA3944"/>
    <w:rsid w:val="00BA425A"/>
    <w:rsid w:val="00BA4262"/>
    <w:rsid w:val="00BA4345"/>
    <w:rsid w:val="00BA4783"/>
    <w:rsid w:val="00BA48DD"/>
    <w:rsid w:val="00BA49C6"/>
    <w:rsid w:val="00BA4A67"/>
    <w:rsid w:val="00BA4E37"/>
    <w:rsid w:val="00BA5CC0"/>
    <w:rsid w:val="00BA6789"/>
    <w:rsid w:val="00BA680F"/>
    <w:rsid w:val="00BA6A1F"/>
    <w:rsid w:val="00BA6C29"/>
    <w:rsid w:val="00BA7694"/>
    <w:rsid w:val="00BA796B"/>
    <w:rsid w:val="00BA7F2A"/>
    <w:rsid w:val="00BB026E"/>
    <w:rsid w:val="00BB0D8D"/>
    <w:rsid w:val="00BB1067"/>
    <w:rsid w:val="00BB1B94"/>
    <w:rsid w:val="00BB1E6C"/>
    <w:rsid w:val="00BB2929"/>
    <w:rsid w:val="00BB3011"/>
    <w:rsid w:val="00BB360A"/>
    <w:rsid w:val="00BB460F"/>
    <w:rsid w:val="00BB469C"/>
    <w:rsid w:val="00BB485C"/>
    <w:rsid w:val="00BB4C04"/>
    <w:rsid w:val="00BB4CED"/>
    <w:rsid w:val="00BB635B"/>
    <w:rsid w:val="00BB6522"/>
    <w:rsid w:val="00BB697F"/>
    <w:rsid w:val="00BB6CC5"/>
    <w:rsid w:val="00BB6E8F"/>
    <w:rsid w:val="00BB714C"/>
    <w:rsid w:val="00BB7727"/>
    <w:rsid w:val="00BB7779"/>
    <w:rsid w:val="00BB78A2"/>
    <w:rsid w:val="00BB7FA9"/>
    <w:rsid w:val="00BC01C9"/>
    <w:rsid w:val="00BC0FD7"/>
    <w:rsid w:val="00BC1945"/>
    <w:rsid w:val="00BC1A11"/>
    <w:rsid w:val="00BC1C1E"/>
    <w:rsid w:val="00BC1FDE"/>
    <w:rsid w:val="00BC28AA"/>
    <w:rsid w:val="00BC2ACF"/>
    <w:rsid w:val="00BC3A0C"/>
    <w:rsid w:val="00BC3F97"/>
    <w:rsid w:val="00BC46D9"/>
    <w:rsid w:val="00BC4A0F"/>
    <w:rsid w:val="00BC548F"/>
    <w:rsid w:val="00BC56D8"/>
    <w:rsid w:val="00BC5FA4"/>
    <w:rsid w:val="00BC6396"/>
    <w:rsid w:val="00BC64B0"/>
    <w:rsid w:val="00BC6B63"/>
    <w:rsid w:val="00BC7112"/>
    <w:rsid w:val="00BC7124"/>
    <w:rsid w:val="00BC7238"/>
    <w:rsid w:val="00BC79F1"/>
    <w:rsid w:val="00BD0038"/>
    <w:rsid w:val="00BD004F"/>
    <w:rsid w:val="00BD14B0"/>
    <w:rsid w:val="00BD30FC"/>
    <w:rsid w:val="00BD3544"/>
    <w:rsid w:val="00BD4165"/>
    <w:rsid w:val="00BD4AE8"/>
    <w:rsid w:val="00BD4D6D"/>
    <w:rsid w:val="00BD4EE9"/>
    <w:rsid w:val="00BD50DA"/>
    <w:rsid w:val="00BD5136"/>
    <w:rsid w:val="00BD520C"/>
    <w:rsid w:val="00BD5CCD"/>
    <w:rsid w:val="00BD5EA0"/>
    <w:rsid w:val="00BD6179"/>
    <w:rsid w:val="00BD6383"/>
    <w:rsid w:val="00BD70DC"/>
    <w:rsid w:val="00BD725C"/>
    <w:rsid w:val="00BD7899"/>
    <w:rsid w:val="00BD7D3A"/>
    <w:rsid w:val="00BE08BA"/>
    <w:rsid w:val="00BE0AC7"/>
    <w:rsid w:val="00BE0E5B"/>
    <w:rsid w:val="00BE11D1"/>
    <w:rsid w:val="00BE1682"/>
    <w:rsid w:val="00BE1C8B"/>
    <w:rsid w:val="00BE1D46"/>
    <w:rsid w:val="00BE1EE2"/>
    <w:rsid w:val="00BE2416"/>
    <w:rsid w:val="00BE2CB8"/>
    <w:rsid w:val="00BE5191"/>
    <w:rsid w:val="00BE5E42"/>
    <w:rsid w:val="00BE600C"/>
    <w:rsid w:val="00BE620B"/>
    <w:rsid w:val="00BE625A"/>
    <w:rsid w:val="00BE683A"/>
    <w:rsid w:val="00BE68BC"/>
    <w:rsid w:val="00BE6EB6"/>
    <w:rsid w:val="00BE7332"/>
    <w:rsid w:val="00BE754D"/>
    <w:rsid w:val="00BF09BA"/>
    <w:rsid w:val="00BF0A79"/>
    <w:rsid w:val="00BF0DE8"/>
    <w:rsid w:val="00BF0F97"/>
    <w:rsid w:val="00BF1590"/>
    <w:rsid w:val="00BF161F"/>
    <w:rsid w:val="00BF1846"/>
    <w:rsid w:val="00BF1DA1"/>
    <w:rsid w:val="00BF2112"/>
    <w:rsid w:val="00BF27D9"/>
    <w:rsid w:val="00BF2827"/>
    <w:rsid w:val="00BF284F"/>
    <w:rsid w:val="00BF2C74"/>
    <w:rsid w:val="00BF2D49"/>
    <w:rsid w:val="00BF334D"/>
    <w:rsid w:val="00BF3A7F"/>
    <w:rsid w:val="00BF3B7B"/>
    <w:rsid w:val="00BF3CF5"/>
    <w:rsid w:val="00BF4102"/>
    <w:rsid w:val="00BF43FA"/>
    <w:rsid w:val="00BF486A"/>
    <w:rsid w:val="00BF4CEB"/>
    <w:rsid w:val="00BF4EC2"/>
    <w:rsid w:val="00BF4FAD"/>
    <w:rsid w:val="00BF54B5"/>
    <w:rsid w:val="00BF629E"/>
    <w:rsid w:val="00BF67BF"/>
    <w:rsid w:val="00BF6E5F"/>
    <w:rsid w:val="00BF7587"/>
    <w:rsid w:val="00BF7819"/>
    <w:rsid w:val="00BF7F63"/>
    <w:rsid w:val="00C007AA"/>
    <w:rsid w:val="00C007D7"/>
    <w:rsid w:val="00C0142D"/>
    <w:rsid w:val="00C01ED0"/>
    <w:rsid w:val="00C01FCA"/>
    <w:rsid w:val="00C01FCF"/>
    <w:rsid w:val="00C0285E"/>
    <w:rsid w:val="00C03AF7"/>
    <w:rsid w:val="00C03E62"/>
    <w:rsid w:val="00C041FB"/>
    <w:rsid w:val="00C04283"/>
    <w:rsid w:val="00C04E5F"/>
    <w:rsid w:val="00C05221"/>
    <w:rsid w:val="00C06217"/>
    <w:rsid w:val="00C07612"/>
    <w:rsid w:val="00C07BDD"/>
    <w:rsid w:val="00C1012C"/>
    <w:rsid w:val="00C10799"/>
    <w:rsid w:val="00C113FE"/>
    <w:rsid w:val="00C11444"/>
    <w:rsid w:val="00C1154F"/>
    <w:rsid w:val="00C118FB"/>
    <w:rsid w:val="00C11913"/>
    <w:rsid w:val="00C120CA"/>
    <w:rsid w:val="00C1302D"/>
    <w:rsid w:val="00C131D2"/>
    <w:rsid w:val="00C13B6F"/>
    <w:rsid w:val="00C13B80"/>
    <w:rsid w:val="00C14E7B"/>
    <w:rsid w:val="00C1507F"/>
    <w:rsid w:val="00C151A7"/>
    <w:rsid w:val="00C155A6"/>
    <w:rsid w:val="00C15FB7"/>
    <w:rsid w:val="00C1624F"/>
    <w:rsid w:val="00C2043C"/>
    <w:rsid w:val="00C2048D"/>
    <w:rsid w:val="00C20F8D"/>
    <w:rsid w:val="00C21369"/>
    <w:rsid w:val="00C216AB"/>
    <w:rsid w:val="00C21875"/>
    <w:rsid w:val="00C227DD"/>
    <w:rsid w:val="00C2288E"/>
    <w:rsid w:val="00C229BF"/>
    <w:rsid w:val="00C22A88"/>
    <w:rsid w:val="00C22B81"/>
    <w:rsid w:val="00C2329D"/>
    <w:rsid w:val="00C2428F"/>
    <w:rsid w:val="00C24294"/>
    <w:rsid w:val="00C248AE"/>
    <w:rsid w:val="00C24D99"/>
    <w:rsid w:val="00C252B2"/>
    <w:rsid w:val="00C261FE"/>
    <w:rsid w:val="00C26C47"/>
    <w:rsid w:val="00C2743F"/>
    <w:rsid w:val="00C303CF"/>
    <w:rsid w:val="00C30752"/>
    <w:rsid w:val="00C30932"/>
    <w:rsid w:val="00C31048"/>
    <w:rsid w:val="00C31BBD"/>
    <w:rsid w:val="00C31DCF"/>
    <w:rsid w:val="00C323AE"/>
    <w:rsid w:val="00C323BD"/>
    <w:rsid w:val="00C32CE9"/>
    <w:rsid w:val="00C32EDC"/>
    <w:rsid w:val="00C33023"/>
    <w:rsid w:val="00C33339"/>
    <w:rsid w:val="00C33685"/>
    <w:rsid w:val="00C33C76"/>
    <w:rsid w:val="00C347AB"/>
    <w:rsid w:val="00C34DBA"/>
    <w:rsid w:val="00C34F0D"/>
    <w:rsid w:val="00C3545A"/>
    <w:rsid w:val="00C35A9D"/>
    <w:rsid w:val="00C35B70"/>
    <w:rsid w:val="00C3610F"/>
    <w:rsid w:val="00C37389"/>
    <w:rsid w:val="00C40260"/>
    <w:rsid w:val="00C41315"/>
    <w:rsid w:val="00C415D0"/>
    <w:rsid w:val="00C417A8"/>
    <w:rsid w:val="00C428C1"/>
    <w:rsid w:val="00C429E0"/>
    <w:rsid w:val="00C42A0D"/>
    <w:rsid w:val="00C42D2D"/>
    <w:rsid w:val="00C43BF2"/>
    <w:rsid w:val="00C43E80"/>
    <w:rsid w:val="00C44772"/>
    <w:rsid w:val="00C448E3"/>
    <w:rsid w:val="00C45CAD"/>
    <w:rsid w:val="00C47706"/>
    <w:rsid w:val="00C4780F"/>
    <w:rsid w:val="00C47DD4"/>
    <w:rsid w:val="00C505A6"/>
    <w:rsid w:val="00C50683"/>
    <w:rsid w:val="00C50DFB"/>
    <w:rsid w:val="00C51B2D"/>
    <w:rsid w:val="00C52A59"/>
    <w:rsid w:val="00C52CD7"/>
    <w:rsid w:val="00C52EF4"/>
    <w:rsid w:val="00C5327A"/>
    <w:rsid w:val="00C53D2C"/>
    <w:rsid w:val="00C5510B"/>
    <w:rsid w:val="00C55B7A"/>
    <w:rsid w:val="00C55F1E"/>
    <w:rsid w:val="00C5671A"/>
    <w:rsid w:val="00C57AFC"/>
    <w:rsid w:val="00C57F26"/>
    <w:rsid w:val="00C60DDB"/>
    <w:rsid w:val="00C610E4"/>
    <w:rsid w:val="00C61276"/>
    <w:rsid w:val="00C6183D"/>
    <w:rsid w:val="00C61E56"/>
    <w:rsid w:val="00C62AAD"/>
    <w:rsid w:val="00C62E35"/>
    <w:rsid w:val="00C63243"/>
    <w:rsid w:val="00C632E9"/>
    <w:rsid w:val="00C63862"/>
    <w:rsid w:val="00C64CD9"/>
    <w:rsid w:val="00C6505C"/>
    <w:rsid w:val="00C65900"/>
    <w:rsid w:val="00C65B0D"/>
    <w:rsid w:val="00C65E43"/>
    <w:rsid w:val="00C66B3E"/>
    <w:rsid w:val="00C6742C"/>
    <w:rsid w:val="00C67493"/>
    <w:rsid w:val="00C67AB4"/>
    <w:rsid w:val="00C70B0F"/>
    <w:rsid w:val="00C71876"/>
    <w:rsid w:val="00C72B6F"/>
    <w:rsid w:val="00C72F28"/>
    <w:rsid w:val="00C73618"/>
    <w:rsid w:val="00C73746"/>
    <w:rsid w:val="00C73A48"/>
    <w:rsid w:val="00C73CE0"/>
    <w:rsid w:val="00C74662"/>
    <w:rsid w:val="00C76A79"/>
    <w:rsid w:val="00C77FA6"/>
    <w:rsid w:val="00C80A9D"/>
    <w:rsid w:val="00C80FB3"/>
    <w:rsid w:val="00C81720"/>
    <w:rsid w:val="00C81C50"/>
    <w:rsid w:val="00C82426"/>
    <w:rsid w:val="00C82F2F"/>
    <w:rsid w:val="00C8361F"/>
    <w:rsid w:val="00C839FE"/>
    <w:rsid w:val="00C843B0"/>
    <w:rsid w:val="00C85735"/>
    <w:rsid w:val="00C8661C"/>
    <w:rsid w:val="00C86851"/>
    <w:rsid w:val="00C90DD5"/>
    <w:rsid w:val="00C9101F"/>
    <w:rsid w:val="00C91315"/>
    <w:rsid w:val="00C92150"/>
    <w:rsid w:val="00C921D7"/>
    <w:rsid w:val="00C939A0"/>
    <w:rsid w:val="00C93F46"/>
    <w:rsid w:val="00C9431E"/>
    <w:rsid w:val="00C948C9"/>
    <w:rsid w:val="00C958BA"/>
    <w:rsid w:val="00C97A4D"/>
    <w:rsid w:val="00C97C2C"/>
    <w:rsid w:val="00CA02BE"/>
    <w:rsid w:val="00CA04EB"/>
    <w:rsid w:val="00CA0924"/>
    <w:rsid w:val="00CA0B66"/>
    <w:rsid w:val="00CA25EF"/>
    <w:rsid w:val="00CA2896"/>
    <w:rsid w:val="00CA32C2"/>
    <w:rsid w:val="00CA35C1"/>
    <w:rsid w:val="00CA36FC"/>
    <w:rsid w:val="00CA3C57"/>
    <w:rsid w:val="00CA3D89"/>
    <w:rsid w:val="00CA43AE"/>
    <w:rsid w:val="00CA4B6F"/>
    <w:rsid w:val="00CA5B9D"/>
    <w:rsid w:val="00CA6A12"/>
    <w:rsid w:val="00CA6A5C"/>
    <w:rsid w:val="00CA7312"/>
    <w:rsid w:val="00CA7C4A"/>
    <w:rsid w:val="00CA7C76"/>
    <w:rsid w:val="00CB0272"/>
    <w:rsid w:val="00CB02E3"/>
    <w:rsid w:val="00CB02EF"/>
    <w:rsid w:val="00CB060B"/>
    <w:rsid w:val="00CB0664"/>
    <w:rsid w:val="00CB0E6F"/>
    <w:rsid w:val="00CB150B"/>
    <w:rsid w:val="00CB158E"/>
    <w:rsid w:val="00CB1D2F"/>
    <w:rsid w:val="00CB1D5A"/>
    <w:rsid w:val="00CB2103"/>
    <w:rsid w:val="00CB2E11"/>
    <w:rsid w:val="00CB438C"/>
    <w:rsid w:val="00CB4530"/>
    <w:rsid w:val="00CB4E51"/>
    <w:rsid w:val="00CB5036"/>
    <w:rsid w:val="00CB51B2"/>
    <w:rsid w:val="00CB55A5"/>
    <w:rsid w:val="00CB599A"/>
    <w:rsid w:val="00CB5B61"/>
    <w:rsid w:val="00CB5B9E"/>
    <w:rsid w:val="00CB5D2C"/>
    <w:rsid w:val="00CB6178"/>
    <w:rsid w:val="00CB65B4"/>
    <w:rsid w:val="00CB6972"/>
    <w:rsid w:val="00CB6B18"/>
    <w:rsid w:val="00CB6E2B"/>
    <w:rsid w:val="00CB7380"/>
    <w:rsid w:val="00CB7602"/>
    <w:rsid w:val="00CB7708"/>
    <w:rsid w:val="00CB7804"/>
    <w:rsid w:val="00CB78D3"/>
    <w:rsid w:val="00CC0084"/>
    <w:rsid w:val="00CC025F"/>
    <w:rsid w:val="00CC0600"/>
    <w:rsid w:val="00CC0B04"/>
    <w:rsid w:val="00CC15E2"/>
    <w:rsid w:val="00CC1A6A"/>
    <w:rsid w:val="00CC4D5F"/>
    <w:rsid w:val="00CC56F6"/>
    <w:rsid w:val="00CC5A77"/>
    <w:rsid w:val="00CC604A"/>
    <w:rsid w:val="00CC6239"/>
    <w:rsid w:val="00CC6B6B"/>
    <w:rsid w:val="00CC7F08"/>
    <w:rsid w:val="00CD05AE"/>
    <w:rsid w:val="00CD06B5"/>
    <w:rsid w:val="00CD0BAD"/>
    <w:rsid w:val="00CD16ED"/>
    <w:rsid w:val="00CD1F8C"/>
    <w:rsid w:val="00CD2708"/>
    <w:rsid w:val="00CD2AA9"/>
    <w:rsid w:val="00CD346A"/>
    <w:rsid w:val="00CD3787"/>
    <w:rsid w:val="00CD3917"/>
    <w:rsid w:val="00CD3E4B"/>
    <w:rsid w:val="00CD4036"/>
    <w:rsid w:val="00CD4175"/>
    <w:rsid w:val="00CD4E2E"/>
    <w:rsid w:val="00CD5326"/>
    <w:rsid w:val="00CD5B66"/>
    <w:rsid w:val="00CD6A62"/>
    <w:rsid w:val="00CD6D7D"/>
    <w:rsid w:val="00CD7C83"/>
    <w:rsid w:val="00CE00D3"/>
    <w:rsid w:val="00CE1770"/>
    <w:rsid w:val="00CE1B14"/>
    <w:rsid w:val="00CE1D7E"/>
    <w:rsid w:val="00CE236D"/>
    <w:rsid w:val="00CE32C0"/>
    <w:rsid w:val="00CE358F"/>
    <w:rsid w:val="00CE3774"/>
    <w:rsid w:val="00CE45C6"/>
    <w:rsid w:val="00CE4B23"/>
    <w:rsid w:val="00CE5222"/>
    <w:rsid w:val="00CE59A7"/>
    <w:rsid w:val="00CE6006"/>
    <w:rsid w:val="00CE7435"/>
    <w:rsid w:val="00CE750D"/>
    <w:rsid w:val="00CF0348"/>
    <w:rsid w:val="00CF07B2"/>
    <w:rsid w:val="00CF17A6"/>
    <w:rsid w:val="00CF1E47"/>
    <w:rsid w:val="00CF2D32"/>
    <w:rsid w:val="00CF30B3"/>
    <w:rsid w:val="00CF38F4"/>
    <w:rsid w:val="00CF42DA"/>
    <w:rsid w:val="00CF476A"/>
    <w:rsid w:val="00CF4BFF"/>
    <w:rsid w:val="00CF4EDA"/>
    <w:rsid w:val="00CF59E2"/>
    <w:rsid w:val="00CF645B"/>
    <w:rsid w:val="00CF64E3"/>
    <w:rsid w:val="00CF71BE"/>
    <w:rsid w:val="00CF7B20"/>
    <w:rsid w:val="00CF7C7E"/>
    <w:rsid w:val="00CF7E59"/>
    <w:rsid w:val="00D00248"/>
    <w:rsid w:val="00D00918"/>
    <w:rsid w:val="00D00A62"/>
    <w:rsid w:val="00D00BC7"/>
    <w:rsid w:val="00D0190B"/>
    <w:rsid w:val="00D01942"/>
    <w:rsid w:val="00D028D7"/>
    <w:rsid w:val="00D02E4B"/>
    <w:rsid w:val="00D038A1"/>
    <w:rsid w:val="00D03ABC"/>
    <w:rsid w:val="00D03C72"/>
    <w:rsid w:val="00D04B39"/>
    <w:rsid w:val="00D04CF7"/>
    <w:rsid w:val="00D05373"/>
    <w:rsid w:val="00D059BB"/>
    <w:rsid w:val="00D05BCF"/>
    <w:rsid w:val="00D06069"/>
    <w:rsid w:val="00D07228"/>
    <w:rsid w:val="00D07B52"/>
    <w:rsid w:val="00D07CA9"/>
    <w:rsid w:val="00D1012B"/>
    <w:rsid w:val="00D10B47"/>
    <w:rsid w:val="00D11D53"/>
    <w:rsid w:val="00D12B42"/>
    <w:rsid w:val="00D12B52"/>
    <w:rsid w:val="00D12DA8"/>
    <w:rsid w:val="00D12DCC"/>
    <w:rsid w:val="00D12EF6"/>
    <w:rsid w:val="00D13D1B"/>
    <w:rsid w:val="00D14399"/>
    <w:rsid w:val="00D1496A"/>
    <w:rsid w:val="00D159D2"/>
    <w:rsid w:val="00D160D9"/>
    <w:rsid w:val="00D16666"/>
    <w:rsid w:val="00D1711F"/>
    <w:rsid w:val="00D17163"/>
    <w:rsid w:val="00D172E1"/>
    <w:rsid w:val="00D17F4C"/>
    <w:rsid w:val="00D2042A"/>
    <w:rsid w:val="00D20606"/>
    <w:rsid w:val="00D20643"/>
    <w:rsid w:val="00D21129"/>
    <w:rsid w:val="00D212C5"/>
    <w:rsid w:val="00D212E4"/>
    <w:rsid w:val="00D2287A"/>
    <w:rsid w:val="00D23456"/>
    <w:rsid w:val="00D234E7"/>
    <w:rsid w:val="00D24102"/>
    <w:rsid w:val="00D242D7"/>
    <w:rsid w:val="00D244C3"/>
    <w:rsid w:val="00D24C1C"/>
    <w:rsid w:val="00D24FF3"/>
    <w:rsid w:val="00D25993"/>
    <w:rsid w:val="00D26241"/>
    <w:rsid w:val="00D262DA"/>
    <w:rsid w:val="00D26A24"/>
    <w:rsid w:val="00D30069"/>
    <w:rsid w:val="00D30677"/>
    <w:rsid w:val="00D312A8"/>
    <w:rsid w:val="00D328A7"/>
    <w:rsid w:val="00D32AB7"/>
    <w:rsid w:val="00D32AF5"/>
    <w:rsid w:val="00D32FF6"/>
    <w:rsid w:val="00D33084"/>
    <w:rsid w:val="00D3322A"/>
    <w:rsid w:val="00D333A0"/>
    <w:rsid w:val="00D335C9"/>
    <w:rsid w:val="00D33AD1"/>
    <w:rsid w:val="00D345D8"/>
    <w:rsid w:val="00D34AAF"/>
    <w:rsid w:val="00D34B9A"/>
    <w:rsid w:val="00D359BB"/>
    <w:rsid w:val="00D35A5E"/>
    <w:rsid w:val="00D360DA"/>
    <w:rsid w:val="00D3660A"/>
    <w:rsid w:val="00D37431"/>
    <w:rsid w:val="00D37D85"/>
    <w:rsid w:val="00D37F90"/>
    <w:rsid w:val="00D409A1"/>
    <w:rsid w:val="00D409BC"/>
    <w:rsid w:val="00D41386"/>
    <w:rsid w:val="00D42C27"/>
    <w:rsid w:val="00D42F38"/>
    <w:rsid w:val="00D42F9B"/>
    <w:rsid w:val="00D43350"/>
    <w:rsid w:val="00D4393B"/>
    <w:rsid w:val="00D43C6E"/>
    <w:rsid w:val="00D442C5"/>
    <w:rsid w:val="00D44327"/>
    <w:rsid w:val="00D448A7"/>
    <w:rsid w:val="00D452AB"/>
    <w:rsid w:val="00D45619"/>
    <w:rsid w:val="00D461BC"/>
    <w:rsid w:val="00D47268"/>
    <w:rsid w:val="00D47518"/>
    <w:rsid w:val="00D47759"/>
    <w:rsid w:val="00D4777F"/>
    <w:rsid w:val="00D477B0"/>
    <w:rsid w:val="00D47E7E"/>
    <w:rsid w:val="00D511B0"/>
    <w:rsid w:val="00D514A7"/>
    <w:rsid w:val="00D5218A"/>
    <w:rsid w:val="00D52D75"/>
    <w:rsid w:val="00D533EB"/>
    <w:rsid w:val="00D54700"/>
    <w:rsid w:val="00D550F4"/>
    <w:rsid w:val="00D5572A"/>
    <w:rsid w:val="00D55815"/>
    <w:rsid w:val="00D55BE0"/>
    <w:rsid w:val="00D56AC4"/>
    <w:rsid w:val="00D56EFF"/>
    <w:rsid w:val="00D56FEF"/>
    <w:rsid w:val="00D5704A"/>
    <w:rsid w:val="00D57AB6"/>
    <w:rsid w:val="00D57F59"/>
    <w:rsid w:val="00D602B8"/>
    <w:rsid w:val="00D603F5"/>
    <w:rsid w:val="00D60935"/>
    <w:rsid w:val="00D609D8"/>
    <w:rsid w:val="00D609EB"/>
    <w:rsid w:val="00D60E20"/>
    <w:rsid w:val="00D616C2"/>
    <w:rsid w:val="00D619A3"/>
    <w:rsid w:val="00D61D3E"/>
    <w:rsid w:val="00D6207A"/>
    <w:rsid w:val="00D62F12"/>
    <w:rsid w:val="00D6328A"/>
    <w:rsid w:val="00D63444"/>
    <w:rsid w:val="00D6374A"/>
    <w:rsid w:val="00D63E5D"/>
    <w:rsid w:val="00D6528E"/>
    <w:rsid w:val="00D655D8"/>
    <w:rsid w:val="00D65950"/>
    <w:rsid w:val="00D6595D"/>
    <w:rsid w:val="00D65AE9"/>
    <w:rsid w:val="00D65D59"/>
    <w:rsid w:val="00D66592"/>
    <w:rsid w:val="00D66992"/>
    <w:rsid w:val="00D6740D"/>
    <w:rsid w:val="00D677DF"/>
    <w:rsid w:val="00D67834"/>
    <w:rsid w:val="00D67F91"/>
    <w:rsid w:val="00D70D92"/>
    <w:rsid w:val="00D70DA9"/>
    <w:rsid w:val="00D71322"/>
    <w:rsid w:val="00D71661"/>
    <w:rsid w:val="00D7177C"/>
    <w:rsid w:val="00D71814"/>
    <w:rsid w:val="00D72281"/>
    <w:rsid w:val="00D726A9"/>
    <w:rsid w:val="00D73059"/>
    <w:rsid w:val="00D73A15"/>
    <w:rsid w:val="00D7409A"/>
    <w:rsid w:val="00D7415B"/>
    <w:rsid w:val="00D74473"/>
    <w:rsid w:val="00D74AE4"/>
    <w:rsid w:val="00D74FF6"/>
    <w:rsid w:val="00D75430"/>
    <w:rsid w:val="00D75D0C"/>
    <w:rsid w:val="00D75EBD"/>
    <w:rsid w:val="00D75F11"/>
    <w:rsid w:val="00D768EC"/>
    <w:rsid w:val="00D76BC5"/>
    <w:rsid w:val="00D770D2"/>
    <w:rsid w:val="00D77EB6"/>
    <w:rsid w:val="00D8047F"/>
    <w:rsid w:val="00D80A3C"/>
    <w:rsid w:val="00D80DC2"/>
    <w:rsid w:val="00D80F46"/>
    <w:rsid w:val="00D815CD"/>
    <w:rsid w:val="00D81853"/>
    <w:rsid w:val="00D8194D"/>
    <w:rsid w:val="00D81A4E"/>
    <w:rsid w:val="00D82097"/>
    <w:rsid w:val="00D82E3F"/>
    <w:rsid w:val="00D82E4F"/>
    <w:rsid w:val="00D82F39"/>
    <w:rsid w:val="00D83058"/>
    <w:rsid w:val="00D83D2A"/>
    <w:rsid w:val="00D84967"/>
    <w:rsid w:val="00D84E95"/>
    <w:rsid w:val="00D852E9"/>
    <w:rsid w:val="00D8596A"/>
    <w:rsid w:val="00D86DA4"/>
    <w:rsid w:val="00D87016"/>
    <w:rsid w:val="00D87186"/>
    <w:rsid w:val="00D87568"/>
    <w:rsid w:val="00D87AB0"/>
    <w:rsid w:val="00D87BB7"/>
    <w:rsid w:val="00D87F6F"/>
    <w:rsid w:val="00D87FF7"/>
    <w:rsid w:val="00D9036E"/>
    <w:rsid w:val="00D9052C"/>
    <w:rsid w:val="00D909C2"/>
    <w:rsid w:val="00D90F36"/>
    <w:rsid w:val="00D91037"/>
    <w:rsid w:val="00D91765"/>
    <w:rsid w:val="00D91D2A"/>
    <w:rsid w:val="00D91FC9"/>
    <w:rsid w:val="00D92A69"/>
    <w:rsid w:val="00D92AEC"/>
    <w:rsid w:val="00D92C90"/>
    <w:rsid w:val="00D93012"/>
    <w:rsid w:val="00D9323A"/>
    <w:rsid w:val="00D934EE"/>
    <w:rsid w:val="00D93715"/>
    <w:rsid w:val="00D93A3B"/>
    <w:rsid w:val="00D93C24"/>
    <w:rsid w:val="00D93E1F"/>
    <w:rsid w:val="00D94657"/>
    <w:rsid w:val="00D94BC5"/>
    <w:rsid w:val="00D953E4"/>
    <w:rsid w:val="00D956C5"/>
    <w:rsid w:val="00D97046"/>
    <w:rsid w:val="00D970FC"/>
    <w:rsid w:val="00D972E9"/>
    <w:rsid w:val="00D97D0F"/>
    <w:rsid w:val="00DA0293"/>
    <w:rsid w:val="00DA09AA"/>
    <w:rsid w:val="00DA2B59"/>
    <w:rsid w:val="00DA3556"/>
    <w:rsid w:val="00DA3636"/>
    <w:rsid w:val="00DA38EC"/>
    <w:rsid w:val="00DA3BAC"/>
    <w:rsid w:val="00DA3EC7"/>
    <w:rsid w:val="00DA47B7"/>
    <w:rsid w:val="00DA47C6"/>
    <w:rsid w:val="00DA4CD8"/>
    <w:rsid w:val="00DA5168"/>
    <w:rsid w:val="00DA544B"/>
    <w:rsid w:val="00DA5CD9"/>
    <w:rsid w:val="00DA78C8"/>
    <w:rsid w:val="00DA7AED"/>
    <w:rsid w:val="00DB000D"/>
    <w:rsid w:val="00DB05B2"/>
    <w:rsid w:val="00DB0B4C"/>
    <w:rsid w:val="00DB0BAE"/>
    <w:rsid w:val="00DB29D1"/>
    <w:rsid w:val="00DB3A85"/>
    <w:rsid w:val="00DB3BE5"/>
    <w:rsid w:val="00DB43B6"/>
    <w:rsid w:val="00DB45F9"/>
    <w:rsid w:val="00DB4EB1"/>
    <w:rsid w:val="00DB5043"/>
    <w:rsid w:val="00DB5DBE"/>
    <w:rsid w:val="00DB604C"/>
    <w:rsid w:val="00DB605D"/>
    <w:rsid w:val="00DB6815"/>
    <w:rsid w:val="00DB6B45"/>
    <w:rsid w:val="00DB6B72"/>
    <w:rsid w:val="00DB747A"/>
    <w:rsid w:val="00DB74D9"/>
    <w:rsid w:val="00DB75C9"/>
    <w:rsid w:val="00DB7FBD"/>
    <w:rsid w:val="00DC0CBB"/>
    <w:rsid w:val="00DC25AC"/>
    <w:rsid w:val="00DC2CD7"/>
    <w:rsid w:val="00DC2E87"/>
    <w:rsid w:val="00DC3418"/>
    <w:rsid w:val="00DC3B25"/>
    <w:rsid w:val="00DC4204"/>
    <w:rsid w:val="00DC436D"/>
    <w:rsid w:val="00DC43BA"/>
    <w:rsid w:val="00DC4554"/>
    <w:rsid w:val="00DC4AFE"/>
    <w:rsid w:val="00DC4C93"/>
    <w:rsid w:val="00DC4FC4"/>
    <w:rsid w:val="00DC53C2"/>
    <w:rsid w:val="00DC61A5"/>
    <w:rsid w:val="00DC68C0"/>
    <w:rsid w:val="00DC7192"/>
    <w:rsid w:val="00DC781E"/>
    <w:rsid w:val="00DC787A"/>
    <w:rsid w:val="00DD0489"/>
    <w:rsid w:val="00DD1317"/>
    <w:rsid w:val="00DD17C3"/>
    <w:rsid w:val="00DD2014"/>
    <w:rsid w:val="00DD20A2"/>
    <w:rsid w:val="00DD25C8"/>
    <w:rsid w:val="00DD2A0C"/>
    <w:rsid w:val="00DD3BF7"/>
    <w:rsid w:val="00DD4FEB"/>
    <w:rsid w:val="00DD5C7D"/>
    <w:rsid w:val="00DD5CF1"/>
    <w:rsid w:val="00DD659E"/>
    <w:rsid w:val="00DD7275"/>
    <w:rsid w:val="00DD73C3"/>
    <w:rsid w:val="00DD78E3"/>
    <w:rsid w:val="00DE0110"/>
    <w:rsid w:val="00DE024D"/>
    <w:rsid w:val="00DE1A92"/>
    <w:rsid w:val="00DE1FC5"/>
    <w:rsid w:val="00DE21F4"/>
    <w:rsid w:val="00DE2304"/>
    <w:rsid w:val="00DE254F"/>
    <w:rsid w:val="00DE27D4"/>
    <w:rsid w:val="00DE332A"/>
    <w:rsid w:val="00DE404F"/>
    <w:rsid w:val="00DE4B09"/>
    <w:rsid w:val="00DE4F09"/>
    <w:rsid w:val="00DE5DA6"/>
    <w:rsid w:val="00DE5EA8"/>
    <w:rsid w:val="00DE6112"/>
    <w:rsid w:val="00DE6504"/>
    <w:rsid w:val="00DE652A"/>
    <w:rsid w:val="00DE726C"/>
    <w:rsid w:val="00DF0818"/>
    <w:rsid w:val="00DF1F21"/>
    <w:rsid w:val="00DF1FFE"/>
    <w:rsid w:val="00DF255E"/>
    <w:rsid w:val="00DF29AC"/>
    <w:rsid w:val="00DF2B82"/>
    <w:rsid w:val="00DF30A7"/>
    <w:rsid w:val="00DF404C"/>
    <w:rsid w:val="00DF4476"/>
    <w:rsid w:val="00DF505A"/>
    <w:rsid w:val="00DF5066"/>
    <w:rsid w:val="00DF5673"/>
    <w:rsid w:val="00DF5ACD"/>
    <w:rsid w:val="00DF5E70"/>
    <w:rsid w:val="00DF5F4D"/>
    <w:rsid w:val="00DF65DF"/>
    <w:rsid w:val="00DF6EE4"/>
    <w:rsid w:val="00DF7308"/>
    <w:rsid w:val="00DF737B"/>
    <w:rsid w:val="00DF742B"/>
    <w:rsid w:val="00DF764D"/>
    <w:rsid w:val="00DF79FF"/>
    <w:rsid w:val="00DF7A7E"/>
    <w:rsid w:val="00E004F8"/>
    <w:rsid w:val="00E0061E"/>
    <w:rsid w:val="00E006A5"/>
    <w:rsid w:val="00E009D6"/>
    <w:rsid w:val="00E009E0"/>
    <w:rsid w:val="00E01646"/>
    <w:rsid w:val="00E02260"/>
    <w:rsid w:val="00E02D44"/>
    <w:rsid w:val="00E031DF"/>
    <w:rsid w:val="00E03AFA"/>
    <w:rsid w:val="00E04484"/>
    <w:rsid w:val="00E046DC"/>
    <w:rsid w:val="00E04BD1"/>
    <w:rsid w:val="00E0501F"/>
    <w:rsid w:val="00E052B2"/>
    <w:rsid w:val="00E05945"/>
    <w:rsid w:val="00E07142"/>
    <w:rsid w:val="00E0754B"/>
    <w:rsid w:val="00E07C72"/>
    <w:rsid w:val="00E07FA3"/>
    <w:rsid w:val="00E119D6"/>
    <w:rsid w:val="00E1273D"/>
    <w:rsid w:val="00E12AB7"/>
    <w:rsid w:val="00E13EAB"/>
    <w:rsid w:val="00E1464C"/>
    <w:rsid w:val="00E1524D"/>
    <w:rsid w:val="00E1586B"/>
    <w:rsid w:val="00E1614E"/>
    <w:rsid w:val="00E1698A"/>
    <w:rsid w:val="00E169C5"/>
    <w:rsid w:val="00E176ED"/>
    <w:rsid w:val="00E17860"/>
    <w:rsid w:val="00E203CA"/>
    <w:rsid w:val="00E205A5"/>
    <w:rsid w:val="00E20AD0"/>
    <w:rsid w:val="00E2282D"/>
    <w:rsid w:val="00E229B6"/>
    <w:rsid w:val="00E23191"/>
    <w:rsid w:val="00E23278"/>
    <w:rsid w:val="00E235B3"/>
    <w:rsid w:val="00E24446"/>
    <w:rsid w:val="00E24BDA"/>
    <w:rsid w:val="00E24C4A"/>
    <w:rsid w:val="00E26CB0"/>
    <w:rsid w:val="00E26CF9"/>
    <w:rsid w:val="00E26E9D"/>
    <w:rsid w:val="00E270BE"/>
    <w:rsid w:val="00E27BDE"/>
    <w:rsid w:val="00E30B23"/>
    <w:rsid w:val="00E31119"/>
    <w:rsid w:val="00E32354"/>
    <w:rsid w:val="00E327ED"/>
    <w:rsid w:val="00E32905"/>
    <w:rsid w:val="00E33354"/>
    <w:rsid w:val="00E33433"/>
    <w:rsid w:val="00E33DCA"/>
    <w:rsid w:val="00E33E06"/>
    <w:rsid w:val="00E342D3"/>
    <w:rsid w:val="00E34B67"/>
    <w:rsid w:val="00E35115"/>
    <w:rsid w:val="00E3579D"/>
    <w:rsid w:val="00E3597E"/>
    <w:rsid w:val="00E35F86"/>
    <w:rsid w:val="00E36768"/>
    <w:rsid w:val="00E36833"/>
    <w:rsid w:val="00E36927"/>
    <w:rsid w:val="00E36957"/>
    <w:rsid w:val="00E3704E"/>
    <w:rsid w:val="00E37DFE"/>
    <w:rsid w:val="00E40546"/>
    <w:rsid w:val="00E40ADC"/>
    <w:rsid w:val="00E41151"/>
    <w:rsid w:val="00E4116B"/>
    <w:rsid w:val="00E41442"/>
    <w:rsid w:val="00E4173F"/>
    <w:rsid w:val="00E41A43"/>
    <w:rsid w:val="00E41B7F"/>
    <w:rsid w:val="00E4214F"/>
    <w:rsid w:val="00E42B0E"/>
    <w:rsid w:val="00E42B44"/>
    <w:rsid w:val="00E43275"/>
    <w:rsid w:val="00E43410"/>
    <w:rsid w:val="00E43C0B"/>
    <w:rsid w:val="00E4408A"/>
    <w:rsid w:val="00E4412B"/>
    <w:rsid w:val="00E44183"/>
    <w:rsid w:val="00E443AA"/>
    <w:rsid w:val="00E44839"/>
    <w:rsid w:val="00E4490F"/>
    <w:rsid w:val="00E4492E"/>
    <w:rsid w:val="00E44AE2"/>
    <w:rsid w:val="00E45571"/>
    <w:rsid w:val="00E45672"/>
    <w:rsid w:val="00E45A2C"/>
    <w:rsid w:val="00E465B1"/>
    <w:rsid w:val="00E471C2"/>
    <w:rsid w:val="00E4771D"/>
    <w:rsid w:val="00E478CB"/>
    <w:rsid w:val="00E47ECF"/>
    <w:rsid w:val="00E50260"/>
    <w:rsid w:val="00E50B3F"/>
    <w:rsid w:val="00E50C2B"/>
    <w:rsid w:val="00E512E9"/>
    <w:rsid w:val="00E51692"/>
    <w:rsid w:val="00E529FC"/>
    <w:rsid w:val="00E52A9D"/>
    <w:rsid w:val="00E53E1B"/>
    <w:rsid w:val="00E548B8"/>
    <w:rsid w:val="00E5573A"/>
    <w:rsid w:val="00E55B40"/>
    <w:rsid w:val="00E55C6B"/>
    <w:rsid w:val="00E56D06"/>
    <w:rsid w:val="00E60F0B"/>
    <w:rsid w:val="00E61B7A"/>
    <w:rsid w:val="00E61F37"/>
    <w:rsid w:val="00E62261"/>
    <w:rsid w:val="00E6257C"/>
    <w:rsid w:val="00E6378C"/>
    <w:rsid w:val="00E65214"/>
    <w:rsid w:val="00E66EB4"/>
    <w:rsid w:val="00E66F4F"/>
    <w:rsid w:val="00E671A4"/>
    <w:rsid w:val="00E7002B"/>
    <w:rsid w:val="00E706BD"/>
    <w:rsid w:val="00E712A1"/>
    <w:rsid w:val="00E71371"/>
    <w:rsid w:val="00E71C2E"/>
    <w:rsid w:val="00E73637"/>
    <w:rsid w:val="00E73C75"/>
    <w:rsid w:val="00E73DA6"/>
    <w:rsid w:val="00E740E7"/>
    <w:rsid w:val="00E74A51"/>
    <w:rsid w:val="00E74A80"/>
    <w:rsid w:val="00E74E54"/>
    <w:rsid w:val="00E7501B"/>
    <w:rsid w:val="00E75710"/>
    <w:rsid w:val="00E766E5"/>
    <w:rsid w:val="00E76A18"/>
    <w:rsid w:val="00E77438"/>
    <w:rsid w:val="00E77502"/>
    <w:rsid w:val="00E77C29"/>
    <w:rsid w:val="00E80006"/>
    <w:rsid w:val="00E8004C"/>
    <w:rsid w:val="00E806DF"/>
    <w:rsid w:val="00E82300"/>
    <w:rsid w:val="00E823B1"/>
    <w:rsid w:val="00E82DE4"/>
    <w:rsid w:val="00E82F68"/>
    <w:rsid w:val="00E834F4"/>
    <w:rsid w:val="00E836D5"/>
    <w:rsid w:val="00E83C09"/>
    <w:rsid w:val="00E83F23"/>
    <w:rsid w:val="00E84920"/>
    <w:rsid w:val="00E84B14"/>
    <w:rsid w:val="00E86642"/>
    <w:rsid w:val="00E86975"/>
    <w:rsid w:val="00E90510"/>
    <w:rsid w:val="00E90858"/>
    <w:rsid w:val="00E90B3F"/>
    <w:rsid w:val="00E90BDC"/>
    <w:rsid w:val="00E90D3D"/>
    <w:rsid w:val="00E91742"/>
    <w:rsid w:val="00E9250E"/>
    <w:rsid w:val="00E92BEC"/>
    <w:rsid w:val="00E930C2"/>
    <w:rsid w:val="00E93BB0"/>
    <w:rsid w:val="00E9415B"/>
    <w:rsid w:val="00E94675"/>
    <w:rsid w:val="00E946F0"/>
    <w:rsid w:val="00E94F63"/>
    <w:rsid w:val="00E95D7D"/>
    <w:rsid w:val="00E96338"/>
    <w:rsid w:val="00E972F7"/>
    <w:rsid w:val="00E97742"/>
    <w:rsid w:val="00E978DA"/>
    <w:rsid w:val="00E97FC9"/>
    <w:rsid w:val="00EA0458"/>
    <w:rsid w:val="00EA0665"/>
    <w:rsid w:val="00EA0AC5"/>
    <w:rsid w:val="00EA0D92"/>
    <w:rsid w:val="00EA0E4C"/>
    <w:rsid w:val="00EA2893"/>
    <w:rsid w:val="00EA2BF4"/>
    <w:rsid w:val="00EA2E8C"/>
    <w:rsid w:val="00EA323E"/>
    <w:rsid w:val="00EA3D11"/>
    <w:rsid w:val="00EA4E14"/>
    <w:rsid w:val="00EA71B2"/>
    <w:rsid w:val="00EA71C7"/>
    <w:rsid w:val="00EA73B1"/>
    <w:rsid w:val="00EA749C"/>
    <w:rsid w:val="00EA7536"/>
    <w:rsid w:val="00EA779A"/>
    <w:rsid w:val="00EA7942"/>
    <w:rsid w:val="00EA7B2E"/>
    <w:rsid w:val="00EA7CD6"/>
    <w:rsid w:val="00EB01DE"/>
    <w:rsid w:val="00EB0376"/>
    <w:rsid w:val="00EB1B29"/>
    <w:rsid w:val="00EB1D2D"/>
    <w:rsid w:val="00EB254A"/>
    <w:rsid w:val="00EB25C6"/>
    <w:rsid w:val="00EB26B4"/>
    <w:rsid w:val="00EB2707"/>
    <w:rsid w:val="00EB2A49"/>
    <w:rsid w:val="00EB2B0B"/>
    <w:rsid w:val="00EB2E75"/>
    <w:rsid w:val="00EB337D"/>
    <w:rsid w:val="00EB3B87"/>
    <w:rsid w:val="00EB4556"/>
    <w:rsid w:val="00EB4DB0"/>
    <w:rsid w:val="00EB5B60"/>
    <w:rsid w:val="00EB6068"/>
    <w:rsid w:val="00EB6345"/>
    <w:rsid w:val="00EB6377"/>
    <w:rsid w:val="00EB648F"/>
    <w:rsid w:val="00EB71F7"/>
    <w:rsid w:val="00EB795E"/>
    <w:rsid w:val="00EB7EB2"/>
    <w:rsid w:val="00EB7F48"/>
    <w:rsid w:val="00EC0704"/>
    <w:rsid w:val="00EC0738"/>
    <w:rsid w:val="00EC1453"/>
    <w:rsid w:val="00EC2D96"/>
    <w:rsid w:val="00EC2F2C"/>
    <w:rsid w:val="00EC3808"/>
    <w:rsid w:val="00EC49B7"/>
    <w:rsid w:val="00EC5541"/>
    <w:rsid w:val="00EC5611"/>
    <w:rsid w:val="00EC5847"/>
    <w:rsid w:val="00EC63AD"/>
    <w:rsid w:val="00EC6D8A"/>
    <w:rsid w:val="00EC7344"/>
    <w:rsid w:val="00EC7B92"/>
    <w:rsid w:val="00ED0034"/>
    <w:rsid w:val="00ED0445"/>
    <w:rsid w:val="00ED1255"/>
    <w:rsid w:val="00ED17FC"/>
    <w:rsid w:val="00ED19AD"/>
    <w:rsid w:val="00ED1C8B"/>
    <w:rsid w:val="00ED27DE"/>
    <w:rsid w:val="00ED29DC"/>
    <w:rsid w:val="00ED31F2"/>
    <w:rsid w:val="00ED3396"/>
    <w:rsid w:val="00ED38EC"/>
    <w:rsid w:val="00ED3F31"/>
    <w:rsid w:val="00ED4C6C"/>
    <w:rsid w:val="00ED4D73"/>
    <w:rsid w:val="00ED5069"/>
    <w:rsid w:val="00ED50AA"/>
    <w:rsid w:val="00ED522E"/>
    <w:rsid w:val="00ED567E"/>
    <w:rsid w:val="00ED57FD"/>
    <w:rsid w:val="00ED66F0"/>
    <w:rsid w:val="00ED672F"/>
    <w:rsid w:val="00ED68D7"/>
    <w:rsid w:val="00ED7F3D"/>
    <w:rsid w:val="00EE0881"/>
    <w:rsid w:val="00EE0B41"/>
    <w:rsid w:val="00EE0CB1"/>
    <w:rsid w:val="00EE1727"/>
    <w:rsid w:val="00EE1A5A"/>
    <w:rsid w:val="00EE1F56"/>
    <w:rsid w:val="00EE258A"/>
    <w:rsid w:val="00EE28AE"/>
    <w:rsid w:val="00EE47E7"/>
    <w:rsid w:val="00EE4A08"/>
    <w:rsid w:val="00EE5844"/>
    <w:rsid w:val="00EE6849"/>
    <w:rsid w:val="00EF01D6"/>
    <w:rsid w:val="00EF05DC"/>
    <w:rsid w:val="00EF080E"/>
    <w:rsid w:val="00EF081A"/>
    <w:rsid w:val="00EF09B6"/>
    <w:rsid w:val="00EF0EEB"/>
    <w:rsid w:val="00EF1CAB"/>
    <w:rsid w:val="00EF1D3E"/>
    <w:rsid w:val="00EF2833"/>
    <w:rsid w:val="00EF33FF"/>
    <w:rsid w:val="00EF36CD"/>
    <w:rsid w:val="00EF3B3C"/>
    <w:rsid w:val="00EF48D6"/>
    <w:rsid w:val="00EF4DB6"/>
    <w:rsid w:val="00EF552A"/>
    <w:rsid w:val="00EF5CB4"/>
    <w:rsid w:val="00EF67A6"/>
    <w:rsid w:val="00EF6CAE"/>
    <w:rsid w:val="00EF6D2E"/>
    <w:rsid w:val="00EF6E1B"/>
    <w:rsid w:val="00EF76D8"/>
    <w:rsid w:val="00EF7818"/>
    <w:rsid w:val="00EF78B7"/>
    <w:rsid w:val="00F00151"/>
    <w:rsid w:val="00F0022B"/>
    <w:rsid w:val="00F002A5"/>
    <w:rsid w:val="00F01562"/>
    <w:rsid w:val="00F01682"/>
    <w:rsid w:val="00F0282F"/>
    <w:rsid w:val="00F036F2"/>
    <w:rsid w:val="00F03AD9"/>
    <w:rsid w:val="00F04A05"/>
    <w:rsid w:val="00F050E2"/>
    <w:rsid w:val="00F05A8B"/>
    <w:rsid w:val="00F062F1"/>
    <w:rsid w:val="00F06946"/>
    <w:rsid w:val="00F072F5"/>
    <w:rsid w:val="00F07FF3"/>
    <w:rsid w:val="00F1009F"/>
    <w:rsid w:val="00F101E1"/>
    <w:rsid w:val="00F105EE"/>
    <w:rsid w:val="00F10F32"/>
    <w:rsid w:val="00F11445"/>
    <w:rsid w:val="00F12B34"/>
    <w:rsid w:val="00F13724"/>
    <w:rsid w:val="00F13BEF"/>
    <w:rsid w:val="00F14B64"/>
    <w:rsid w:val="00F151B1"/>
    <w:rsid w:val="00F152D4"/>
    <w:rsid w:val="00F152DE"/>
    <w:rsid w:val="00F15D89"/>
    <w:rsid w:val="00F16443"/>
    <w:rsid w:val="00F1675E"/>
    <w:rsid w:val="00F16EE1"/>
    <w:rsid w:val="00F175A3"/>
    <w:rsid w:val="00F17691"/>
    <w:rsid w:val="00F20D3D"/>
    <w:rsid w:val="00F210FC"/>
    <w:rsid w:val="00F21246"/>
    <w:rsid w:val="00F2151A"/>
    <w:rsid w:val="00F21A6B"/>
    <w:rsid w:val="00F227B7"/>
    <w:rsid w:val="00F23271"/>
    <w:rsid w:val="00F233C4"/>
    <w:rsid w:val="00F23E20"/>
    <w:rsid w:val="00F240A1"/>
    <w:rsid w:val="00F244F8"/>
    <w:rsid w:val="00F24912"/>
    <w:rsid w:val="00F24B31"/>
    <w:rsid w:val="00F24D05"/>
    <w:rsid w:val="00F257FE"/>
    <w:rsid w:val="00F25941"/>
    <w:rsid w:val="00F25ED9"/>
    <w:rsid w:val="00F263B4"/>
    <w:rsid w:val="00F263F3"/>
    <w:rsid w:val="00F2646A"/>
    <w:rsid w:val="00F264CC"/>
    <w:rsid w:val="00F268F8"/>
    <w:rsid w:val="00F26CF2"/>
    <w:rsid w:val="00F26E42"/>
    <w:rsid w:val="00F2762B"/>
    <w:rsid w:val="00F27E58"/>
    <w:rsid w:val="00F301DC"/>
    <w:rsid w:val="00F31694"/>
    <w:rsid w:val="00F316C8"/>
    <w:rsid w:val="00F319DB"/>
    <w:rsid w:val="00F31A3F"/>
    <w:rsid w:val="00F31C24"/>
    <w:rsid w:val="00F31DAC"/>
    <w:rsid w:val="00F31E3C"/>
    <w:rsid w:val="00F3239B"/>
    <w:rsid w:val="00F329C0"/>
    <w:rsid w:val="00F332CB"/>
    <w:rsid w:val="00F33645"/>
    <w:rsid w:val="00F33A12"/>
    <w:rsid w:val="00F33C8E"/>
    <w:rsid w:val="00F33F7A"/>
    <w:rsid w:val="00F347C0"/>
    <w:rsid w:val="00F34D28"/>
    <w:rsid w:val="00F34EB8"/>
    <w:rsid w:val="00F354C1"/>
    <w:rsid w:val="00F357FD"/>
    <w:rsid w:val="00F3633B"/>
    <w:rsid w:val="00F3678E"/>
    <w:rsid w:val="00F36B96"/>
    <w:rsid w:val="00F36C28"/>
    <w:rsid w:val="00F36CB7"/>
    <w:rsid w:val="00F3704F"/>
    <w:rsid w:val="00F379A7"/>
    <w:rsid w:val="00F403A5"/>
    <w:rsid w:val="00F40ED9"/>
    <w:rsid w:val="00F412BB"/>
    <w:rsid w:val="00F4220D"/>
    <w:rsid w:val="00F4291F"/>
    <w:rsid w:val="00F43768"/>
    <w:rsid w:val="00F43A13"/>
    <w:rsid w:val="00F4441E"/>
    <w:rsid w:val="00F44ABC"/>
    <w:rsid w:val="00F44D00"/>
    <w:rsid w:val="00F455CC"/>
    <w:rsid w:val="00F45D50"/>
    <w:rsid w:val="00F45F6B"/>
    <w:rsid w:val="00F46111"/>
    <w:rsid w:val="00F46174"/>
    <w:rsid w:val="00F468AB"/>
    <w:rsid w:val="00F478B2"/>
    <w:rsid w:val="00F50589"/>
    <w:rsid w:val="00F50B10"/>
    <w:rsid w:val="00F50B83"/>
    <w:rsid w:val="00F50E02"/>
    <w:rsid w:val="00F515F2"/>
    <w:rsid w:val="00F51642"/>
    <w:rsid w:val="00F51B5C"/>
    <w:rsid w:val="00F5233F"/>
    <w:rsid w:val="00F5249B"/>
    <w:rsid w:val="00F526A3"/>
    <w:rsid w:val="00F5359A"/>
    <w:rsid w:val="00F552DE"/>
    <w:rsid w:val="00F55AC2"/>
    <w:rsid w:val="00F55F64"/>
    <w:rsid w:val="00F5646D"/>
    <w:rsid w:val="00F5794E"/>
    <w:rsid w:val="00F57B1E"/>
    <w:rsid w:val="00F60B29"/>
    <w:rsid w:val="00F6173C"/>
    <w:rsid w:val="00F61A31"/>
    <w:rsid w:val="00F6269F"/>
    <w:rsid w:val="00F62700"/>
    <w:rsid w:val="00F62CE7"/>
    <w:rsid w:val="00F6364B"/>
    <w:rsid w:val="00F636E8"/>
    <w:rsid w:val="00F63AB0"/>
    <w:rsid w:val="00F63D3D"/>
    <w:rsid w:val="00F63E35"/>
    <w:rsid w:val="00F6411F"/>
    <w:rsid w:val="00F643E2"/>
    <w:rsid w:val="00F6458B"/>
    <w:rsid w:val="00F64D59"/>
    <w:rsid w:val="00F64E73"/>
    <w:rsid w:val="00F654B2"/>
    <w:rsid w:val="00F654E5"/>
    <w:rsid w:val="00F65B38"/>
    <w:rsid w:val="00F66E95"/>
    <w:rsid w:val="00F6760F"/>
    <w:rsid w:val="00F702E2"/>
    <w:rsid w:val="00F7079A"/>
    <w:rsid w:val="00F70E12"/>
    <w:rsid w:val="00F70F88"/>
    <w:rsid w:val="00F717D9"/>
    <w:rsid w:val="00F719D8"/>
    <w:rsid w:val="00F720BC"/>
    <w:rsid w:val="00F72D10"/>
    <w:rsid w:val="00F74ACD"/>
    <w:rsid w:val="00F74DD9"/>
    <w:rsid w:val="00F74F7B"/>
    <w:rsid w:val="00F7528F"/>
    <w:rsid w:val="00F758B8"/>
    <w:rsid w:val="00F75AAE"/>
    <w:rsid w:val="00F76854"/>
    <w:rsid w:val="00F76A5A"/>
    <w:rsid w:val="00F76E62"/>
    <w:rsid w:val="00F76EF6"/>
    <w:rsid w:val="00F76FDD"/>
    <w:rsid w:val="00F77609"/>
    <w:rsid w:val="00F77CD4"/>
    <w:rsid w:val="00F817D5"/>
    <w:rsid w:val="00F817E2"/>
    <w:rsid w:val="00F81B45"/>
    <w:rsid w:val="00F8233C"/>
    <w:rsid w:val="00F82E20"/>
    <w:rsid w:val="00F83958"/>
    <w:rsid w:val="00F84E62"/>
    <w:rsid w:val="00F85206"/>
    <w:rsid w:val="00F8545F"/>
    <w:rsid w:val="00F85CF5"/>
    <w:rsid w:val="00F85D39"/>
    <w:rsid w:val="00F866E7"/>
    <w:rsid w:val="00F86A25"/>
    <w:rsid w:val="00F86BFC"/>
    <w:rsid w:val="00F870B6"/>
    <w:rsid w:val="00F87130"/>
    <w:rsid w:val="00F87405"/>
    <w:rsid w:val="00F8760F"/>
    <w:rsid w:val="00F8774B"/>
    <w:rsid w:val="00F879E9"/>
    <w:rsid w:val="00F87D88"/>
    <w:rsid w:val="00F9010F"/>
    <w:rsid w:val="00F90503"/>
    <w:rsid w:val="00F90BD6"/>
    <w:rsid w:val="00F9114E"/>
    <w:rsid w:val="00F91743"/>
    <w:rsid w:val="00F91C74"/>
    <w:rsid w:val="00F91FED"/>
    <w:rsid w:val="00F92443"/>
    <w:rsid w:val="00F92CF5"/>
    <w:rsid w:val="00F92DC6"/>
    <w:rsid w:val="00F93061"/>
    <w:rsid w:val="00F93A16"/>
    <w:rsid w:val="00F951E8"/>
    <w:rsid w:val="00F95541"/>
    <w:rsid w:val="00F96909"/>
    <w:rsid w:val="00F96ED8"/>
    <w:rsid w:val="00F97B0A"/>
    <w:rsid w:val="00F97C9F"/>
    <w:rsid w:val="00F97E4C"/>
    <w:rsid w:val="00F97F72"/>
    <w:rsid w:val="00F97FDB"/>
    <w:rsid w:val="00FA1246"/>
    <w:rsid w:val="00FA1392"/>
    <w:rsid w:val="00FA272B"/>
    <w:rsid w:val="00FA2D4E"/>
    <w:rsid w:val="00FA2F0C"/>
    <w:rsid w:val="00FA32BF"/>
    <w:rsid w:val="00FA32EF"/>
    <w:rsid w:val="00FA3B0E"/>
    <w:rsid w:val="00FA4C25"/>
    <w:rsid w:val="00FA61E5"/>
    <w:rsid w:val="00FA6543"/>
    <w:rsid w:val="00FA6F41"/>
    <w:rsid w:val="00FA7249"/>
    <w:rsid w:val="00FA7C88"/>
    <w:rsid w:val="00FA7E9F"/>
    <w:rsid w:val="00FB1632"/>
    <w:rsid w:val="00FB17E1"/>
    <w:rsid w:val="00FB1DBE"/>
    <w:rsid w:val="00FB1FC2"/>
    <w:rsid w:val="00FB2187"/>
    <w:rsid w:val="00FB22CC"/>
    <w:rsid w:val="00FB22E2"/>
    <w:rsid w:val="00FB23A4"/>
    <w:rsid w:val="00FB2FD8"/>
    <w:rsid w:val="00FB3650"/>
    <w:rsid w:val="00FB4508"/>
    <w:rsid w:val="00FB50B9"/>
    <w:rsid w:val="00FB52DF"/>
    <w:rsid w:val="00FB5CF8"/>
    <w:rsid w:val="00FB60F8"/>
    <w:rsid w:val="00FB6FCB"/>
    <w:rsid w:val="00FB73ED"/>
    <w:rsid w:val="00FB7BB9"/>
    <w:rsid w:val="00FC003F"/>
    <w:rsid w:val="00FC00BD"/>
    <w:rsid w:val="00FC0591"/>
    <w:rsid w:val="00FC05BF"/>
    <w:rsid w:val="00FC0BBB"/>
    <w:rsid w:val="00FC1387"/>
    <w:rsid w:val="00FC1A11"/>
    <w:rsid w:val="00FC1BFA"/>
    <w:rsid w:val="00FC1E26"/>
    <w:rsid w:val="00FC1EA6"/>
    <w:rsid w:val="00FC242C"/>
    <w:rsid w:val="00FC30F2"/>
    <w:rsid w:val="00FC333B"/>
    <w:rsid w:val="00FC34EA"/>
    <w:rsid w:val="00FC3C50"/>
    <w:rsid w:val="00FC3FC7"/>
    <w:rsid w:val="00FC4180"/>
    <w:rsid w:val="00FC4CFA"/>
    <w:rsid w:val="00FC4DBF"/>
    <w:rsid w:val="00FC4F70"/>
    <w:rsid w:val="00FC500A"/>
    <w:rsid w:val="00FC5183"/>
    <w:rsid w:val="00FC5A40"/>
    <w:rsid w:val="00FC5EE6"/>
    <w:rsid w:val="00FC693F"/>
    <w:rsid w:val="00FD03A6"/>
    <w:rsid w:val="00FD04C6"/>
    <w:rsid w:val="00FD09EB"/>
    <w:rsid w:val="00FD09F8"/>
    <w:rsid w:val="00FD0E76"/>
    <w:rsid w:val="00FD0FCC"/>
    <w:rsid w:val="00FD1220"/>
    <w:rsid w:val="00FD177F"/>
    <w:rsid w:val="00FD17AB"/>
    <w:rsid w:val="00FD1E70"/>
    <w:rsid w:val="00FD23FD"/>
    <w:rsid w:val="00FD2875"/>
    <w:rsid w:val="00FD3C5E"/>
    <w:rsid w:val="00FD3CC8"/>
    <w:rsid w:val="00FD47BD"/>
    <w:rsid w:val="00FD546E"/>
    <w:rsid w:val="00FD5DD2"/>
    <w:rsid w:val="00FD5EFC"/>
    <w:rsid w:val="00FD639B"/>
    <w:rsid w:val="00FD69E0"/>
    <w:rsid w:val="00FD6BDF"/>
    <w:rsid w:val="00FD6F00"/>
    <w:rsid w:val="00FD7176"/>
    <w:rsid w:val="00FD744E"/>
    <w:rsid w:val="00FE013F"/>
    <w:rsid w:val="00FE0E33"/>
    <w:rsid w:val="00FE1B68"/>
    <w:rsid w:val="00FE247E"/>
    <w:rsid w:val="00FE2B68"/>
    <w:rsid w:val="00FE41A3"/>
    <w:rsid w:val="00FE4AB4"/>
    <w:rsid w:val="00FE4DC2"/>
    <w:rsid w:val="00FE5335"/>
    <w:rsid w:val="00FE579F"/>
    <w:rsid w:val="00FE6D3B"/>
    <w:rsid w:val="00FE6E27"/>
    <w:rsid w:val="00FE7328"/>
    <w:rsid w:val="00FE7B2A"/>
    <w:rsid w:val="00FE7C9A"/>
    <w:rsid w:val="00FE7E4C"/>
    <w:rsid w:val="00FF0BF5"/>
    <w:rsid w:val="00FF1460"/>
    <w:rsid w:val="00FF1B45"/>
    <w:rsid w:val="00FF2097"/>
    <w:rsid w:val="00FF2688"/>
    <w:rsid w:val="00FF289C"/>
    <w:rsid w:val="00FF2E20"/>
    <w:rsid w:val="00FF3404"/>
    <w:rsid w:val="00FF3DA2"/>
    <w:rsid w:val="00FF43DF"/>
    <w:rsid w:val="00FF4C81"/>
    <w:rsid w:val="00FF4D0A"/>
    <w:rsid w:val="00FF4D77"/>
    <w:rsid w:val="00FF5344"/>
    <w:rsid w:val="00FF570D"/>
    <w:rsid w:val="00FF5BCF"/>
    <w:rsid w:val="00FF5DBB"/>
    <w:rsid w:val="00FF6618"/>
    <w:rsid w:val="00FF682B"/>
    <w:rsid w:val="00FF6FBA"/>
    <w:rsid w:val="00FF7139"/>
    <w:rsid w:val="00FF73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2F3BB0E-B573-4DCC-B651-75B8B1FB9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6C423C"/>
    <w:rPr>
      <w:sz w:val="16"/>
      <w:szCs w:val="16"/>
    </w:rPr>
  </w:style>
  <w:style w:type="paragraph" w:styleId="CommentText">
    <w:name w:val="annotation text"/>
    <w:basedOn w:val="Normal"/>
    <w:link w:val="CommentTextChar"/>
    <w:uiPriority w:val="99"/>
    <w:unhideWhenUsed/>
    <w:rsid w:val="006C423C"/>
    <w:pPr>
      <w:spacing w:line="240" w:lineRule="auto"/>
    </w:pPr>
    <w:rPr>
      <w:sz w:val="20"/>
      <w:szCs w:val="20"/>
    </w:rPr>
  </w:style>
  <w:style w:type="character" w:customStyle="1" w:styleId="CommentTextChar">
    <w:name w:val="Comment Text Char"/>
    <w:basedOn w:val="DefaultParagraphFont"/>
    <w:link w:val="CommentText"/>
    <w:uiPriority w:val="99"/>
    <w:rsid w:val="006C423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C423C"/>
    <w:rPr>
      <w:b/>
      <w:bCs/>
    </w:rPr>
  </w:style>
  <w:style w:type="character" w:customStyle="1" w:styleId="CommentSubjectChar">
    <w:name w:val="Comment Subject Char"/>
    <w:basedOn w:val="CommentTextChar"/>
    <w:link w:val="CommentSubject"/>
    <w:uiPriority w:val="99"/>
    <w:semiHidden/>
    <w:rsid w:val="006C423C"/>
    <w:rPr>
      <w:rFonts w:ascii="Times New Roman" w:hAnsi="Times New Roman"/>
      <w:b/>
      <w:bCs/>
      <w:sz w:val="20"/>
      <w:szCs w:val="20"/>
    </w:rPr>
  </w:style>
  <w:style w:type="paragraph" w:styleId="FootnoteText">
    <w:name w:val="footnote text"/>
    <w:basedOn w:val="Normal"/>
    <w:link w:val="FootnoteTextChar"/>
    <w:uiPriority w:val="99"/>
    <w:unhideWhenUsed/>
    <w:rsid w:val="000321E2"/>
    <w:pPr>
      <w:spacing w:after="0" w:line="240" w:lineRule="auto"/>
    </w:pPr>
    <w:rPr>
      <w:sz w:val="20"/>
      <w:szCs w:val="20"/>
    </w:rPr>
  </w:style>
  <w:style w:type="character" w:customStyle="1" w:styleId="FootnoteTextChar">
    <w:name w:val="Footnote Text Char"/>
    <w:basedOn w:val="DefaultParagraphFont"/>
    <w:link w:val="FootnoteText"/>
    <w:uiPriority w:val="99"/>
    <w:rsid w:val="000321E2"/>
    <w:rPr>
      <w:rFonts w:ascii="Times New Roman" w:hAnsi="Times New Roman"/>
      <w:sz w:val="20"/>
      <w:szCs w:val="20"/>
    </w:rPr>
  </w:style>
  <w:style w:type="character" w:styleId="FootnoteReference">
    <w:name w:val="footnote reference"/>
    <w:basedOn w:val="DefaultParagraphFont"/>
    <w:uiPriority w:val="99"/>
    <w:semiHidden/>
    <w:unhideWhenUsed/>
    <w:rsid w:val="000321E2"/>
    <w:rPr>
      <w:vertAlign w:val="superscript"/>
    </w:rPr>
  </w:style>
  <w:style w:type="character" w:styleId="PlaceholderText">
    <w:name w:val="Placeholder Text"/>
    <w:basedOn w:val="DefaultParagraphFont"/>
    <w:uiPriority w:val="99"/>
    <w:semiHidden/>
    <w:rsid w:val="00B02E6E"/>
    <w:rPr>
      <w:color w:val="666666"/>
    </w:rPr>
  </w:style>
  <w:style w:type="character" w:styleId="Hyperlink">
    <w:name w:val="Hyperlink"/>
    <w:basedOn w:val="DefaultParagraphFont"/>
    <w:uiPriority w:val="99"/>
    <w:unhideWhenUsed/>
    <w:rsid w:val="00E6378C"/>
    <w:rPr>
      <w:color w:val="0000FF" w:themeColor="hyperlink"/>
      <w:u w:val="single"/>
    </w:rPr>
  </w:style>
  <w:style w:type="character" w:styleId="UnresolvedMention">
    <w:name w:val="Unresolved Mention"/>
    <w:basedOn w:val="DefaultParagraphFont"/>
    <w:uiPriority w:val="99"/>
    <w:semiHidden/>
    <w:unhideWhenUsed/>
    <w:rsid w:val="00E6378C"/>
    <w:rPr>
      <w:color w:val="605E5C"/>
      <w:shd w:val="clear" w:color="auto" w:fill="E1DFDD"/>
    </w:rPr>
  </w:style>
  <w:style w:type="character" w:styleId="FollowedHyperlink">
    <w:name w:val="FollowedHyperlink"/>
    <w:basedOn w:val="DefaultParagraphFont"/>
    <w:uiPriority w:val="99"/>
    <w:semiHidden/>
    <w:unhideWhenUsed/>
    <w:rsid w:val="00AA02D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ubs.usgs.gov/periodicals/mcs2026/mcs2026-phosphate.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ocuments.worldbank.org/curated/en/099040826221585742"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data.worldbank.org/indicator/SL.TLF.TOTL.IN?locations=MA" TargetMode="External"/><Relationship Id="rId2" Type="http://schemas.openxmlformats.org/officeDocument/2006/relationships/hyperlink" Target="https://ielab.info/labs/ielab-gloria" TargetMode="External"/><Relationship Id="rId1" Type="http://schemas.openxmlformats.org/officeDocument/2006/relationships/hyperlink" Target="https://ielab.info/labs/ielab-glor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8975c20-18d4-40c9-811f-0d8ea387c6ea}" enabled="0" method="" siteId="{78975c20-18d4-40c9-811f-0d8ea387c6ea}" removed="1"/>
</clbl:labelList>
</file>

<file path=docProps/app.xml><?xml version="1.0" encoding="utf-8"?>
<Properties xmlns="http://schemas.openxmlformats.org/officeDocument/2006/extended-properties" xmlns:vt="http://schemas.openxmlformats.org/officeDocument/2006/docPropsVTypes">
  <Template>Normal</Template>
  <TotalTime>8903</TotalTime>
  <Pages>13</Pages>
  <Words>5338</Words>
  <Characters>30430</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Esteves</cp:lastModifiedBy>
  <cp:revision>1117</cp:revision>
  <cp:lastPrinted>2026-09-04T04:12:00Z</cp:lastPrinted>
  <dcterms:created xsi:type="dcterms:W3CDTF">2026-08-28T23:41:00Z</dcterms:created>
  <dcterms:modified xsi:type="dcterms:W3CDTF">2026-10-02T16:20:00Z</dcterms:modified>
  <cp:category/>
</cp:coreProperties>
</file>