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AB2F2" w14:textId="77777777" w:rsidR="00BB0496" w:rsidRPr="00BB0496" w:rsidRDefault="00BB0496" w:rsidP="00BB0496">
      <w:pPr>
        <w:spacing w:line="276" w:lineRule="auto"/>
        <w:ind w:firstLine="360"/>
        <w:jc w:val="both"/>
        <w:rPr>
          <w:rFonts w:cs="Times New Roman"/>
          <w:color w:val="000000" w:themeColor="text1"/>
          <w:sz w:val="22"/>
        </w:rPr>
      </w:pPr>
      <w:r w:rsidRPr="00BB0496">
        <w:rPr>
          <w:rFonts w:cs="Times New Roman"/>
          <w:color w:val="000000" w:themeColor="text1"/>
          <w:sz w:val="22"/>
        </w:rPr>
        <w:t xml:space="preserve">Equation 1 </w:t>
      </w:r>
      <w:proofErr w:type="gramStart"/>
      <w:r w:rsidRPr="00BB0496">
        <w:rPr>
          <w:rFonts w:cs="Times New Roman"/>
          <w:color w:val="000000" w:themeColor="text1"/>
          <w:sz w:val="22"/>
        </w:rPr>
        <w:t>gives</w:t>
      </w:r>
      <w:proofErr w:type="gramEnd"/>
      <w:r w:rsidRPr="00BB0496">
        <w:rPr>
          <w:rFonts w:cs="Times New Roman"/>
          <w:color w:val="000000" w:themeColor="text1"/>
          <w:sz w:val="22"/>
        </w:rPr>
        <w:t xml:space="preserve"> the change in domestic output associated with a change in final demand. To express this output change in employment terms, Equation 2 applies an employment-output matrix that gives the number of workers supported per unit of output in each industry. This produces the employment-requirement, or ER, table. Direct employment is calculated by replacing the Leontief inverse with the identity matrix. It captures employment in the industry supplying the product purchased in final demand. Indirect employment is calculated as the difference between total and direct employment in Equation 3. Because demand vectors remain separate by line and year until the final aggregation, employment can be reported by landing sector and as annual totals over the 33-year period, while remaining traceable to the transformation that generated it, as shown in Equation 4.</w:t>
      </w:r>
    </w:p>
    <w:p w14:paraId="5DBFBD1D" w14:textId="77777777" w:rsidR="00BB0496" w:rsidRPr="00BB0496" w:rsidRDefault="00BB0496" w:rsidP="00BB0496">
      <w:pPr>
        <w:spacing w:line="276" w:lineRule="auto"/>
        <w:ind w:firstLine="360"/>
        <w:jc w:val="both"/>
        <w:rPr>
          <w:rFonts w:cs="Times New Roman"/>
          <w:color w:val="000000" w:themeColor="text1"/>
          <w:sz w:val="22"/>
        </w:rPr>
      </w:pPr>
      <m:oMathPara>
        <m:oMath>
          <m:m>
            <m:mPr>
              <m:plcHide m:val="1"/>
              <m:mcs>
                <m:mc>
                  <m:mcPr>
                    <m:count m:val="4"/>
                    <m:mcJc m:val="center"/>
                  </m:mcPr>
                </m:mc>
              </m:mcs>
              <m:ctrlPr>
                <w:rPr>
                  <w:rFonts w:ascii="Cambria Math" w:hAnsi="Cambria Math" w:cs="Times New Roman"/>
                  <w:color w:val="000000" w:themeColor="text1"/>
                  <w:sz w:val="22"/>
                </w:rPr>
              </m:ctrlPr>
            </m:mPr>
            <m:mr>
              <m:e/>
              <m:e>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x</m:t>
                    </m:r>
                  </m:e>
                  <m:sub>
                    <m:r>
                      <w:rPr>
                        <w:rFonts w:ascii="Cambria Math" w:hAnsi="Cambria Math" w:cs="Times New Roman"/>
                        <w:color w:val="000000" w:themeColor="text1"/>
                        <w:sz w:val="22"/>
                      </w:rPr>
                      <m:t>l,t</m:t>
                    </m:r>
                  </m:sub>
                </m:sSub>
                <m:r>
                  <w:rPr>
                    <w:rFonts w:ascii="Cambria Math" w:hAnsi="Cambria Math" w:cs="Times New Roman"/>
                    <w:color w:val="000000" w:themeColor="text1"/>
                    <w:sz w:val="22"/>
                  </w:rPr>
                  <m:t>=(</m:t>
                </m:r>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120×120</m:t>
                    </m:r>
                  </m:sub>
                </m:sSub>
                <m:r>
                  <w:rPr>
                    <w:rFonts w:ascii="Cambria Math" w:hAnsi="Cambria Math" w:cs="Times New Roman"/>
                    <w:color w:val="000000" w:themeColor="text1"/>
                    <w:sz w:val="22"/>
                  </w:rPr>
                  <m:t>-</m:t>
                </m:r>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A</m:t>
                    </m:r>
                  </m:e>
                  <m:sub>
                    <m:r>
                      <w:rPr>
                        <w:rFonts w:ascii="Cambria Math" w:hAnsi="Cambria Math" w:cs="Times New Roman"/>
                        <w:color w:val="000000" w:themeColor="text1"/>
                        <w:sz w:val="22"/>
                      </w:rPr>
                      <m:t>120×120</m:t>
                    </m:r>
                  </m:sub>
                </m:sSub>
                <m:sSup>
                  <m:sSupPr>
                    <m:ctrlPr>
                      <w:rPr>
                        <w:rFonts w:ascii="Cambria Math" w:hAnsi="Cambria Math" w:cs="Times New Roman"/>
                        <w:color w:val="000000" w:themeColor="text1"/>
                        <w:sz w:val="22"/>
                      </w:rPr>
                    </m:ctrlPr>
                  </m:sSupPr>
                  <m:e>
                    <m:r>
                      <w:rPr>
                        <w:rFonts w:ascii="Cambria Math" w:hAnsi="Cambria Math" w:cs="Times New Roman"/>
                        <w:color w:val="000000" w:themeColor="text1"/>
                        <w:sz w:val="22"/>
                      </w:rPr>
                      <m:t>)</m:t>
                    </m:r>
                  </m:e>
                  <m:sup>
                    <m:r>
                      <w:rPr>
                        <w:rFonts w:ascii="Cambria Math" w:hAnsi="Cambria Math" w:cs="Times New Roman"/>
                        <w:color w:val="000000" w:themeColor="text1"/>
                        <w:sz w:val="22"/>
                      </w:rPr>
                      <m:t>-1</m:t>
                    </m:r>
                  </m:sup>
                </m:sSup>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s</m:t>
                    </m:r>
                  </m:e>
                </m:acc>
                <m:r>
                  <w:rPr>
                    <w:rFonts w:ascii="Cambria Math" w:hAnsi="Cambria Math" w:cs="Times New Roman"/>
                    <w:color w:val="000000" w:themeColor="text1"/>
                    <w:sz w:val="22"/>
                  </w:rPr>
                  <m:t>⋅</m:t>
                </m:r>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Y</m:t>
                    </m:r>
                  </m:e>
                  <m:sub>
                    <m:r>
                      <w:rPr>
                        <w:rFonts w:ascii="Cambria Math" w:hAnsi="Cambria Math" w:cs="Times New Roman"/>
                        <w:color w:val="000000" w:themeColor="text1"/>
                        <w:sz w:val="22"/>
                      </w:rPr>
                      <m:t>l,t</m:t>
                    </m:r>
                  </m:sub>
                </m:sSub>
              </m:e>
              <m:e/>
              <m:e>
                <m:r>
                  <m:rPr>
                    <m:nor/>
                  </m:rPr>
                  <w:rPr>
                    <w:rFonts w:cs="Times New Roman"/>
                    <w:color w:val="000000" w:themeColor="text1"/>
                    <w:sz w:val="22"/>
                  </w:rPr>
                  <m:t>(1)</m:t>
                </m:r>
              </m:e>
            </m:mr>
          </m:m>
          <m:r>
            <w:rPr>
              <w:rFonts w:cs="Times New Roman"/>
              <w:color w:val="000000" w:themeColor="text1"/>
              <w:sz w:val="22"/>
            </w:rPr>
            <w:br/>
          </m:r>
        </m:oMath>
      </m:oMathPara>
    </w:p>
    <w:p w14:paraId="1FC6DB27" w14:textId="77777777" w:rsidR="00BB0496" w:rsidRPr="00BB0496" w:rsidRDefault="00BB0496" w:rsidP="00BB0496">
      <w:pPr>
        <w:spacing w:line="276" w:lineRule="auto"/>
        <w:ind w:firstLine="360"/>
        <w:jc w:val="both"/>
        <w:rPr>
          <w:rFonts w:cs="Times New Roman"/>
          <w:color w:val="000000" w:themeColor="text1"/>
          <w:sz w:val="22"/>
        </w:rPr>
      </w:pPr>
      <m:oMathPara>
        <m:oMath>
          <m:m>
            <m:mPr>
              <m:plcHide m:val="1"/>
              <m:mcs>
                <m:mc>
                  <m:mcPr>
                    <m:count m:val="4"/>
                    <m:mcJc m:val="center"/>
                  </m:mcPr>
                </m:mc>
              </m:mcs>
              <m:ctrlPr>
                <w:rPr>
                  <w:rFonts w:ascii="Cambria Math" w:hAnsi="Cambria Math" w:cs="Times New Roman"/>
                  <w:color w:val="000000" w:themeColor="text1"/>
                  <w:sz w:val="22"/>
                </w:rPr>
              </m:ctrlPr>
            </m:mPr>
            <m:mr>
              <m:e/>
              <m:e>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n</m:t>
                    </m:r>
                  </m:e>
                  <m:sub>
                    <m:r>
                      <w:rPr>
                        <w:rFonts w:ascii="Cambria Math" w:hAnsi="Cambria Math" w:cs="Times New Roman"/>
                        <w:color w:val="000000" w:themeColor="text1"/>
                        <w:sz w:val="22"/>
                      </w:rPr>
                      <m:t>l,t</m:t>
                    </m:r>
                  </m:sub>
                </m:sSub>
                <m:r>
                  <w:rPr>
                    <w:rFonts w:ascii="Cambria Math" w:hAnsi="Cambria Math" w:cs="Times New Roman"/>
                    <w:color w:val="000000" w:themeColor="text1"/>
                    <w:sz w:val="22"/>
                  </w:rPr>
                  <m:t>=E</m:t>
                </m:r>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120×120</m:t>
                    </m:r>
                  </m:sub>
                </m:sSub>
                <m:r>
                  <w:rPr>
                    <w:rFonts w:ascii="Cambria Math" w:hAnsi="Cambria Math" w:cs="Times New Roman"/>
                    <w:color w:val="000000" w:themeColor="text1"/>
                    <w:sz w:val="22"/>
                  </w:rPr>
                  <m:t>⋅</m:t>
                </m:r>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y</m:t>
                    </m:r>
                  </m:e>
                  <m:sub>
                    <m:r>
                      <w:rPr>
                        <w:rFonts w:ascii="Cambria Math" w:hAnsi="Cambria Math" w:cs="Times New Roman"/>
                        <w:color w:val="000000" w:themeColor="text1"/>
                        <w:sz w:val="22"/>
                      </w:rPr>
                      <m:t>l,t</m:t>
                    </m:r>
                  </m:sub>
                </m:sSub>
                <m:r>
                  <w:rPr>
                    <w:rFonts w:ascii="Cambria Math" w:hAnsi="Cambria Math" w:cs="Times New Roman"/>
                    <w:color w:val="000000" w:themeColor="text1"/>
                    <w:sz w:val="22"/>
                  </w:rPr>
                  <m:t>,  ER=</m:t>
                </m:r>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e</m:t>
                    </m:r>
                  </m:e>
                </m:acc>
                <m:r>
                  <w:rPr>
                    <w:rFonts w:ascii="Cambria Math" w:hAnsi="Cambria Math" w:cs="Times New Roman"/>
                    <w:color w:val="000000" w:themeColor="text1"/>
                    <w:sz w:val="22"/>
                  </w:rPr>
                  <m:t>(I-A</m:t>
                </m:r>
                <m:sSup>
                  <m:sSupPr>
                    <m:ctrlPr>
                      <w:rPr>
                        <w:rFonts w:ascii="Cambria Math" w:hAnsi="Cambria Math" w:cs="Times New Roman"/>
                        <w:color w:val="000000" w:themeColor="text1"/>
                        <w:sz w:val="22"/>
                      </w:rPr>
                    </m:ctrlPr>
                  </m:sSupPr>
                  <m:e>
                    <m:r>
                      <w:rPr>
                        <w:rFonts w:ascii="Cambria Math" w:hAnsi="Cambria Math" w:cs="Times New Roman"/>
                        <w:color w:val="000000" w:themeColor="text1"/>
                        <w:sz w:val="22"/>
                      </w:rPr>
                      <m:t>)</m:t>
                    </m:r>
                  </m:e>
                  <m:sup>
                    <m:r>
                      <w:rPr>
                        <w:rFonts w:ascii="Cambria Math" w:hAnsi="Cambria Math" w:cs="Times New Roman"/>
                        <w:color w:val="000000" w:themeColor="text1"/>
                        <w:sz w:val="22"/>
                      </w:rPr>
                      <m:t>-1</m:t>
                    </m:r>
                  </m:sup>
                </m:sSup>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s</m:t>
                    </m:r>
                  </m:e>
                </m:acc>
              </m:e>
              <m:e/>
              <m:e>
                <m:r>
                  <m:rPr>
                    <m:nor/>
                  </m:rPr>
                  <w:rPr>
                    <w:rFonts w:cs="Times New Roman"/>
                    <w:color w:val="000000" w:themeColor="text1"/>
                    <w:sz w:val="22"/>
                  </w:rPr>
                  <m:t>(2)</m:t>
                </m:r>
              </m:e>
            </m:mr>
          </m:m>
          <m:r>
            <w:rPr>
              <w:rFonts w:cs="Times New Roman"/>
              <w:color w:val="000000" w:themeColor="text1"/>
              <w:sz w:val="22"/>
            </w:rPr>
            <w:br/>
          </m:r>
        </m:oMath>
      </m:oMathPara>
    </w:p>
    <w:p w14:paraId="2AD223F0" w14:textId="77777777" w:rsidR="00BB0496" w:rsidRPr="00BB0496" w:rsidRDefault="00BB0496" w:rsidP="00BB0496">
      <w:pPr>
        <w:spacing w:line="276" w:lineRule="auto"/>
        <w:ind w:firstLine="360"/>
        <w:jc w:val="both"/>
        <w:rPr>
          <w:rFonts w:cs="Times New Roman"/>
          <w:color w:val="000000" w:themeColor="text1"/>
          <w:sz w:val="22"/>
        </w:rPr>
      </w:pPr>
      <m:oMathPara>
        <m:oMath>
          <m:m>
            <m:mPr>
              <m:plcHide m:val="1"/>
              <m:mcs>
                <m:mc>
                  <m:mcPr>
                    <m:count m:val="4"/>
                    <m:mcJc m:val="center"/>
                  </m:mcPr>
                </m:mc>
              </m:mcs>
              <m:ctrlPr>
                <w:rPr>
                  <w:rFonts w:ascii="Cambria Math" w:hAnsi="Cambria Math" w:cs="Times New Roman"/>
                  <w:color w:val="000000" w:themeColor="text1"/>
                  <w:sz w:val="22"/>
                </w:rPr>
              </m:ctrlPr>
            </m:mPr>
            <m:mr>
              <m:e/>
              <m:e>
                <m:r>
                  <m:rPr>
                    <m:sty m:val="p"/>
                  </m:rPr>
                  <w:rPr>
                    <w:rFonts w:ascii="Cambria Math" w:hAnsi="Cambria Math" w:cs="Times New Roman"/>
                    <w:color w:val="000000" w:themeColor="text1"/>
                    <w:sz w:val="22"/>
                  </w:rPr>
                  <m:t>Δ</m:t>
                </m:r>
                <m:sSubSup>
                  <m:sSubSupPr>
                    <m:ctrlPr>
                      <w:rPr>
                        <w:rFonts w:ascii="Cambria Math" w:hAnsi="Cambria Math" w:cs="Times New Roman"/>
                        <w:color w:val="000000" w:themeColor="text1"/>
                        <w:sz w:val="22"/>
                      </w:rPr>
                    </m:ctrlPr>
                  </m:sSubSupPr>
                  <m:e>
                    <m:r>
                      <m:rPr>
                        <m:sty m:val="p"/>
                      </m:rPr>
                      <w:rPr>
                        <w:rFonts w:ascii="Cambria Math" w:hAnsi="Cambria Math" w:cs="Times New Roman"/>
                        <w:color w:val="000000" w:themeColor="text1"/>
                        <w:sz w:val="22"/>
                      </w:rPr>
                      <m:t>n</m:t>
                    </m:r>
                  </m:e>
                  <m:sub>
                    <m:r>
                      <w:rPr>
                        <w:rFonts w:ascii="Cambria Math" w:hAnsi="Cambria Math" w:cs="Times New Roman"/>
                        <w:color w:val="000000" w:themeColor="text1"/>
                        <w:sz w:val="22"/>
                      </w:rPr>
                      <m:t>l,t</m:t>
                    </m:r>
                  </m:sub>
                  <m:sup>
                    <m:r>
                      <w:rPr>
                        <w:rFonts w:ascii="Cambria Math" w:hAnsi="Cambria Math" w:cs="Times New Roman"/>
                        <w:color w:val="000000" w:themeColor="text1"/>
                        <w:sz w:val="22"/>
                      </w:rPr>
                      <m:t>dir</m:t>
                    </m:r>
                  </m:sup>
                </m:sSubSup>
                <m:r>
                  <w:rPr>
                    <w:rFonts w:ascii="Cambria Math" w:hAnsi="Cambria Math" w:cs="Times New Roman"/>
                    <w:color w:val="000000" w:themeColor="text1"/>
                    <w:sz w:val="22"/>
                  </w:rPr>
                  <m:t>=</m:t>
                </m:r>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e</m:t>
                    </m:r>
                  </m:e>
                </m:acc>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s</m:t>
                    </m:r>
                  </m:e>
                </m:acc>
                <m:r>
                  <w:rPr>
                    <w:rFonts w:ascii="Cambria Math" w:hAnsi="Cambria Math" w:cs="Times New Roman"/>
                    <w:color w:val="000000" w:themeColor="text1"/>
                    <w:sz w:val="22"/>
                  </w:rPr>
                  <m:t>⋅</m:t>
                </m:r>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y</m:t>
                    </m:r>
                  </m:e>
                  <m:sub>
                    <m:r>
                      <w:rPr>
                        <w:rFonts w:ascii="Cambria Math" w:hAnsi="Cambria Math" w:cs="Times New Roman"/>
                        <w:color w:val="000000" w:themeColor="text1"/>
                        <w:sz w:val="22"/>
                      </w:rPr>
                      <m:t>l,t</m:t>
                    </m:r>
                  </m:sub>
                </m:sSub>
                <m:r>
                  <w:rPr>
                    <w:rFonts w:ascii="Cambria Math" w:hAnsi="Cambria Math" w:cs="Times New Roman"/>
                    <w:color w:val="000000" w:themeColor="text1"/>
                    <w:sz w:val="22"/>
                  </w:rPr>
                  <m:t xml:space="preserve">,  </m:t>
                </m:r>
                <m:r>
                  <m:rPr>
                    <m:sty m:val="p"/>
                  </m:rPr>
                  <w:rPr>
                    <w:rFonts w:ascii="Cambria Math" w:hAnsi="Cambria Math" w:cs="Times New Roman"/>
                    <w:color w:val="000000" w:themeColor="text1"/>
                    <w:sz w:val="22"/>
                  </w:rPr>
                  <m:t>Δ</m:t>
                </m:r>
                <m:sSubSup>
                  <m:sSubSupPr>
                    <m:ctrlPr>
                      <w:rPr>
                        <w:rFonts w:ascii="Cambria Math" w:hAnsi="Cambria Math" w:cs="Times New Roman"/>
                        <w:color w:val="000000" w:themeColor="text1"/>
                        <w:sz w:val="22"/>
                      </w:rPr>
                    </m:ctrlPr>
                  </m:sSubSupPr>
                  <m:e>
                    <m:r>
                      <m:rPr>
                        <m:sty m:val="p"/>
                      </m:rPr>
                      <w:rPr>
                        <w:rFonts w:ascii="Cambria Math" w:hAnsi="Cambria Math" w:cs="Times New Roman"/>
                        <w:color w:val="000000" w:themeColor="text1"/>
                        <w:sz w:val="22"/>
                      </w:rPr>
                      <m:t>n</m:t>
                    </m:r>
                  </m:e>
                  <m:sub>
                    <m:r>
                      <w:rPr>
                        <w:rFonts w:ascii="Cambria Math" w:hAnsi="Cambria Math" w:cs="Times New Roman"/>
                        <w:color w:val="000000" w:themeColor="text1"/>
                        <w:sz w:val="22"/>
                      </w:rPr>
                      <m:t>l,t</m:t>
                    </m:r>
                  </m:sub>
                  <m:sup>
                    <m:r>
                      <w:rPr>
                        <w:rFonts w:ascii="Cambria Math" w:hAnsi="Cambria Math" w:cs="Times New Roman"/>
                        <w:color w:val="000000" w:themeColor="text1"/>
                        <w:sz w:val="22"/>
                      </w:rPr>
                      <m:t>ind</m:t>
                    </m:r>
                  </m:sup>
                </m:sSubSup>
                <m:r>
                  <w:rPr>
                    <w:rFonts w:ascii="Cambria Math" w:hAnsi="Cambria Math" w:cs="Times New Roman"/>
                    <w:color w:val="000000" w:themeColor="text1"/>
                    <w:sz w:val="22"/>
                  </w:rPr>
                  <m:t>=</m:t>
                </m:r>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n</m:t>
                    </m:r>
                  </m:e>
                  <m:sub>
                    <m:r>
                      <w:rPr>
                        <w:rFonts w:ascii="Cambria Math" w:hAnsi="Cambria Math" w:cs="Times New Roman"/>
                        <w:color w:val="000000" w:themeColor="text1"/>
                        <w:sz w:val="22"/>
                      </w:rPr>
                      <m:t>l,t</m:t>
                    </m:r>
                  </m:sub>
                </m:sSub>
                <m:r>
                  <w:rPr>
                    <w:rFonts w:ascii="Cambria Math" w:hAnsi="Cambria Math" w:cs="Times New Roman"/>
                    <w:color w:val="000000" w:themeColor="text1"/>
                    <w:sz w:val="22"/>
                  </w:rPr>
                  <m:t>-</m:t>
                </m:r>
                <m:r>
                  <m:rPr>
                    <m:sty m:val="p"/>
                  </m:rPr>
                  <w:rPr>
                    <w:rFonts w:ascii="Cambria Math" w:hAnsi="Cambria Math" w:cs="Times New Roman"/>
                    <w:color w:val="000000" w:themeColor="text1"/>
                    <w:sz w:val="22"/>
                  </w:rPr>
                  <m:t>Δ</m:t>
                </m:r>
                <m:sSubSup>
                  <m:sSubSupPr>
                    <m:ctrlPr>
                      <w:rPr>
                        <w:rFonts w:ascii="Cambria Math" w:hAnsi="Cambria Math" w:cs="Times New Roman"/>
                        <w:color w:val="000000" w:themeColor="text1"/>
                        <w:sz w:val="22"/>
                      </w:rPr>
                    </m:ctrlPr>
                  </m:sSubSupPr>
                  <m:e>
                    <m:r>
                      <m:rPr>
                        <m:sty m:val="p"/>
                      </m:rPr>
                      <w:rPr>
                        <w:rFonts w:ascii="Cambria Math" w:hAnsi="Cambria Math" w:cs="Times New Roman"/>
                        <w:color w:val="000000" w:themeColor="text1"/>
                        <w:sz w:val="22"/>
                      </w:rPr>
                      <m:t>n</m:t>
                    </m:r>
                  </m:e>
                  <m:sub>
                    <m:r>
                      <w:rPr>
                        <w:rFonts w:ascii="Cambria Math" w:hAnsi="Cambria Math" w:cs="Times New Roman"/>
                        <w:color w:val="000000" w:themeColor="text1"/>
                        <w:sz w:val="22"/>
                      </w:rPr>
                      <m:t>l,t</m:t>
                    </m:r>
                  </m:sub>
                  <m:sup>
                    <m:r>
                      <w:rPr>
                        <w:rFonts w:ascii="Cambria Math" w:hAnsi="Cambria Math" w:cs="Times New Roman"/>
                        <w:color w:val="000000" w:themeColor="text1"/>
                        <w:sz w:val="22"/>
                      </w:rPr>
                      <m:t>dir</m:t>
                    </m:r>
                  </m:sup>
                </m:sSubSup>
              </m:e>
              <m:e/>
              <m:e>
                <m:r>
                  <m:rPr>
                    <m:nor/>
                  </m:rPr>
                  <w:rPr>
                    <w:rFonts w:cs="Times New Roman"/>
                    <w:color w:val="000000" w:themeColor="text1"/>
                    <w:sz w:val="22"/>
                  </w:rPr>
                  <m:t>(3)</m:t>
                </m:r>
              </m:e>
            </m:mr>
          </m:m>
          <m:r>
            <w:rPr>
              <w:rFonts w:cs="Times New Roman"/>
              <w:color w:val="000000" w:themeColor="text1"/>
              <w:sz w:val="22"/>
            </w:rPr>
            <w:br/>
          </m:r>
        </m:oMath>
      </m:oMathPara>
    </w:p>
    <w:p w14:paraId="5AB96D93" w14:textId="77777777" w:rsidR="00BB0496" w:rsidRPr="00BB0496" w:rsidRDefault="00BB0496" w:rsidP="00BB0496">
      <w:pPr>
        <w:spacing w:line="276" w:lineRule="auto"/>
        <w:ind w:firstLine="360"/>
        <w:jc w:val="both"/>
        <w:rPr>
          <w:rFonts w:cs="Times New Roman"/>
          <w:color w:val="000000" w:themeColor="text1"/>
          <w:sz w:val="22"/>
        </w:rPr>
      </w:pPr>
      <m:oMathPara>
        <m:oMath>
          <m:m>
            <m:mPr>
              <m:plcHide m:val="1"/>
              <m:mcs>
                <m:mc>
                  <m:mcPr>
                    <m:count m:val="4"/>
                    <m:mcJc m:val="center"/>
                  </m:mcPr>
                </m:mc>
              </m:mcs>
              <m:ctrlPr>
                <w:rPr>
                  <w:rFonts w:ascii="Cambria Math" w:hAnsi="Cambria Math" w:cs="Times New Roman"/>
                  <w:color w:val="000000" w:themeColor="text1"/>
                  <w:sz w:val="22"/>
                </w:rPr>
              </m:ctrlPr>
            </m:mPr>
            <m:mr>
              <m:e/>
              <m:e>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k,t</m:t>
                    </m:r>
                  </m:sub>
                </m:sSub>
                <m:r>
                  <w:rPr>
                    <w:rFonts w:ascii="Cambria Math" w:hAnsi="Cambria Math" w:cs="Times New Roman"/>
                    <w:color w:val="000000" w:themeColor="text1"/>
                    <w:sz w:val="22"/>
                  </w:rPr>
                  <m:t>=</m:t>
                </m:r>
                <m:nary>
                  <m:naryPr>
                    <m:chr m:val="∑"/>
                    <m:limLoc m:val="undOvr"/>
                    <m:grow m:val="1"/>
                    <m:supHide m:val="1"/>
                    <m:ctrlPr>
                      <w:rPr>
                        <w:rFonts w:ascii="Cambria Math" w:hAnsi="Cambria Math" w:cs="Times New Roman"/>
                        <w:color w:val="000000" w:themeColor="text1"/>
                        <w:sz w:val="22"/>
                      </w:rPr>
                    </m:ctrlPr>
                  </m:naryPr>
                  <m:sub>
                    <m:r>
                      <w:rPr>
                        <w:rFonts w:ascii="Cambria Math" w:hAnsi="Cambria Math" w:cs="Times New Roman"/>
                        <w:color w:val="000000" w:themeColor="text1"/>
                        <w:sz w:val="22"/>
                      </w:rPr>
                      <m:t>l</m:t>
                    </m:r>
                  </m:sub>
                  <m:sup/>
                  <m:e>
                    <m:nary>
                      <m:naryPr>
                        <m:chr m:val="∑"/>
                        <m:limLoc m:val="undOvr"/>
                        <m:grow m:val="1"/>
                        <m:supHide m:val="1"/>
                        <m:ctrlPr>
                          <w:rPr>
                            <w:rFonts w:ascii="Cambria Math" w:hAnsi="Cambria Math" w:cs="Times New Roman"/>
                            <w:color w:val="000000" w:themeColor="text1"/>
                            <w:sz w:val="22"/>
                          </w:rPr>
                        </m:ctrlPr>
                      </m:naryPr>
                      <m:sub>
                        <m:r>
                          <w:rPr>
                            <w:rFonts w:ascii="Cambria Math" w:hAnsi="Cambria Math" w:cs="Times New Roman"/>
                            <w:color w:val="000000" w:themeColor="text1"/>
                            <w:sz w:val="22"/>
                          </w:rPr>
                          <m:t>i∈</m:t>
                        </m:r>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S</m:t>
                            </m:r>
                          </m:e>
                          <m:sub>
                            <m:r>
                              <w:rPr>
                                <w:rFonts w:ascii="Cambria Math" w:hAnsi="Cambria Math" w:cs="Times New Roman"/>
                                <w:color w:val="000000" w:themeColor="text1"/>
                                <w:sz w:val="22"/>
                              </w:rPr>
                              <m:t>k</m:t>
                            </m:r>
                          </m:sub>
                        </m:sSub>
                      </m:sub>
                      <m:sup/>
                      <m:e>
                        <m:r>
                          <m:rPr>
                            <m:sty m:val="p"/>
                          </m:rPr>
                          <w:rPr>
                            <w:rFonts w:ascii="Cambria Math" w:hAnsi="Cambria Math" w:cs="Times New Roman"/>
                            <w:color w:val="000000" w:themeColor="text1"/>
                            <w:sz w:val="22"/>
                          </w:rPr>
                          <m:t>Δ</m:t>
                        </m:r>
                      </m:e>
                    </m:nary>
                  </m:e>
                </m:nary>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i,l,t</m:t>
                    </m:r>
                  </m:sub>
                </m:sSub>
                <m:r>
                  <w:rPr>
                    <w:rFonts w:ascii="Cambria Math" w:hAnsi="Cambria Math" w:cs="Times New Roman"/>
                    <w:color w:val="000000" w:themeColor="text1"/>
                    <w:sz w:val="22"/>
                  </w:rPr>
                  <m:t>,</m:t>
                </m:r>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t</m:t>
                    </m:r>
                  </m:sub>
                </m:sSub>
                <m:r>
                  <w:rPr>
                    <w:rFonts w:ascii="Cambria Math" w:hAnsi="Cambria Math" w:cs="Times New Roman"/>
                    <w:color w:val="000000" w:themeColor="text1"/>
                    <w:sz w:val="22"/>
                  </w:rPr>
                  <m:t>=</m:t>
                </m:r>
                <m:nary>
                  <m:naryPr>
                    <m:chr m:val="∑"/>
                    <m:limLoc m:val="undOvr"/>
                    <m:grow m:val="1"/>
                    <m:supHide m:val="1"/>
                    <m:ctrlPr>
                      <w:rPr>
                        <w:rFonts w:ascii="Cambria Math" w:hAnsi="Cambria Math" w:cs="Times New Roman"/>
                        <w:color w:val="000000" w:themeColor="text1"/>
                        <w:sz w:val="22"/>
                      </w:rPr>
                    </m:ctrlPr>
                  </m:naryPr>
                  <m:sub>
                    <m:r>
                      <w:rPr>
                        <w:rFonts w:ascii="Cambria Math" w:hAnsi="Cambria Math" w:cs="Times New Roman"/>
                        <w:color w:val="000000" w:themeColor="text1"/>
                        <w:sz w:val="22"/>
                      </w:rPr>
                      <m:t>k</m:t>
                    </m:r>
                  </m:sub>
                  <m:sup/>
                  <m:e>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k,t</m:t>
                        </m:r>
                      </m:sub>
                    </m:sSub>
                  </m:e>
                </m:nary>
                <m:r>
                  <w:rPr>
                    <w:rFonts w:ascii="Cambria Math" w:hAnsi="Cambria Math" w:cs="Times New Roman"/>
                    <w:color w:val="000000" w:themeColor="text1"/>
                    <w:sz w:val="22"/>
                  </w:rPr>
                  <m:t>,</m:t>
                </m:r>
                <m:sSup>
                  <m:sSupPr>
                    <m:ctrlPr>
                      <w:rPr>
                        <w:rFonts w:ascii="Cambria Math" w:hAnsi="Cambria Math" w:cs="Times New Roman"/>
                        <w:color w:val="000000" w:themeColor="text1"/>
                        <w:sz w:val="22"/>
                      </w:rPr>
                    </m:ctrlPr>
                  </m:sSupPr>
                  <m:e>
                    <m:r>
                      <w:rPr>
                        <w:rFonts w:ascii="Cambria Math" w:hAnsi="Cambria Math" w:cs="Times New Roman"/>
                        <w:color w:val="000000" w:themeColor="text1"/>
                        <w:sz w:val="22"/>
                      </w:rPr>
                      <m:t>N</m:t>
                    </m:r>
                  </m:e>
                  <m:sup>
                    <m:r>
                      <w:rPr>
                        <w:rFonts w:ascii="Cambria Math" w:hAnsi="Cambria Math" w:cs="Times New Roman"/>
                        <w:color w:val="000000" w:themeColor="text1"/>
                        <w:sz w:val="22"/>
                      </w:rPr>
                      <m:t>cum</m:t>
                    </m:r>
                  </m:sup>
                </m:sSup>
                <m:r>
                  <w:rPr>
                    <w:rFonts w:ascii="Cambria Math" w:hAnsi="Cambria Math" w:cs="Times New Roman"/>
                    <w:color w:val="000000" w:themeColor="text1"/>
                    <w:sz w:val="22"/>
                  </w:rPr>
                  <m:t>=</m:t>
                </m:r>
                <m:nary>
                  <m:naryPr>
                    <m:chr m:val="∑"/>
                    <m:limLoc m:val="undOvr"/>
                    <m:grow m:val="1"/>
                    <m:ctrlPr>
                      <w:rPr>
                        <w:rFonts w:ascii="Cambria Math" w:hAnsi="Cambria Math" w:cs="Times New Roman"/>
                        <w:color w:val="000000" w:themeColor="text1"/>
                        <w:sz w:val="22"/>
                      </w:rPr>
                    </m:ctrlPr>
                  </m:naryPr>
                  <m:sub>
                    <m:r>
                      <w:rPr>
                        <w:rFonts w:ascii="Cambria Math" w:hAnsi="Cambria Math" w:cs="Times New Roman"/>
                        <w:color w:val="000000" w:themeColor="text1"/>
                        <w:sz w:val="22"/>
                      </w:rPr>
                      <m:t>t=2018</m:t>
                    </m:r>
                  </m:sub>
                  <m:sup>
                    <m:r>
                      <w:rPr>
                        <w:rFonts w:ascii="Cambria Math" w:hAnsi="Cambria Math" w:cs="Times New Roman"/>
                        <w:color w:val="000000" w:themeColor="text1"/>
                        <w:sz w:val="22"/>
                      </w:rPr>
                      <m:t>2050</m:t>
                    </m:r>
                  </m:sup>
                  <m:e>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t</m:t>
                        </m:r>
                      </m:sub>
                    </m:sSub>
                  </m:e>
                </m:nary>
              </m:e>
              <m:e/>
              <m:e>
                <m:r>
                  <m:rPr>
                    <m:nor/>
                  </m:rPr>
                  <w:rPr>
                    <w:rFonts w:cs="Times New Roman"/>
                    <w:color w:val="000000" w:themeColor="text1"/>
                    <w:sz w:val="22"/>
                  </w:rPr>
                  <m:t>(4)</m:t>
                </m:r>
              </m:e>
            </m:mr>
          </m:m>
          <m:r>
            <w:rPr>
              <w:rFonts w:cs="Times New Roman"/>
              <w:color w:val="000000" w:themeColor="text1"/>
              <w:sz w:val="22"/>
            </w:rPr>
            <w:br/>
          </m:r>
        </m:oMath>
      </m:oMathPara>
    </w:p>
    <w:p w14:paraId="16AD93DF" w14:textId="77777777" w:rsidR="00BB0496" w:rsidRPr="00BB0496" w:rsidRDefault="00BB0496" w:rsidP="00BB0496">
      <w:pPr>
        <w:spacing w:line="276" w:lineRule="auto"/>
        <w:ind w:firstLine="360"/>
        <w:jc w:val="both"/>
        <w:rPr>
          <w:rFonts w:cs="Times New Roman"/>
          <w:color w:val="000000" w:themeColor="text1"/>
          <w:sz w:val="22"/>
        </w:rPr>
      </w:pPr>
      <w:r w:rsidRPr="00BB0496">
        <w:rPr>
          <w:rFonts w:cs="Times New Roman"/>
          <w:color w:val="000000" w:themeColor="text1"/>
          <w:sz w:val="22"/>
        </w:rPr>
        <w:t xml:space="preserve">where </w:t>
      </w:r>
      <m:oMath>
        <m:r>
          <w:rPr>
            <w:rFonts w:ascii="Cambria Math" w:hAnsi="Cambria Math" w:cs="Times New Roman"/>
            <w:color w:val="000000" w:themeColor="text1"/>
            <w:sz w:val="22"/>
          </w:rPr>
          <m:t>l</m:t>
        </m:r>
      </m:oMath>
      <w:r w:rsidRPr="00BB0496">
        <w:rPr>
          <w:rFonts w:cs="Times New Roman"/>
          <w:color w:val="000000" w:themeColor="text1"/>
          <w:sz w:val="22"/>
        </w:rPr>
        <w:t xml:space="preserve"> indexes expenditure and savings lines, and </w:t>
      </w:r>
      <m:oMath>
        <m:r>
          <w:rPr>
            <w:rFonts w:ascii="Cambria Math" w:hAnsi="Cambria Math" w:cs="Times New Roman"/>
            <w:color w:val="000000" w:themeColor="text1"/>
            <w:sz w:val="22"/>
          </w:rPr>
          <m:t>t</m:t>
        </m:r>
      </m:oMath>
      <w:r w:rsidRPr="00BB0496">
        <w:rPr>
          <w:rFonts w:cs="Times New Roman"/>
          <w:color w:val="000000" w:themeColor="text1"/>
          <w:sz w:val="22"/>
        </w:rPr>
        <w:t xml:space="preserve"> indexes the year in the analysis period. </w:t>
      </w:r>
      <m:oMath>
        <m:r>
          <w:rPr>
            <w:rFonts w:ascii="Cambria Math" w:hAnsi="Cambria Math" w:cs="Times New Roman"/>
            <w:color w:val="000000" w:themeColor="text1"/>
            <w:sz w:val="22"/>
          </w:rPr>
          <m:t>i</m:t>
        </m:r>
      </m:oMath>
      <w:r w:rsidRPr="00BB0496">
        <w:rPr>
          <w:rFonts w:cs="Times New Roman"/>
          <w:color w:val="000000" w:themeColor="text1"/>
          <w:sz w:val="22"/>
        </w:rPr>
        <w:t xml:space="preserve"> and </w:t>
      </w:r>
      <m:oMath>
        <m:r>
          <w:rPr>
            <w:rFonts w:ascii="Cambria Math" w:hAnsi="Cambria Math" w:cs="Times New Roman"/>
            <w:color w:val="000000" w:themeColor="text1"/>
            <w:sz w:val="22"/>
          </w:rPr>
          <m:t>p</m:t>
        </m:r>
      </m:oMath>
      <w:r w:rsidRPr="00BB0496">
        <w:rPr>
          <w:rFonts w:cs="Times New Roman"/>
          <w:color w:val="000000" w:themeColor="text1"/>
          <w:sz w:val="22"/>
        </w:rPr>
        <w:t xml:space="preserve"> index the 120 GLORIA products on the output and final-demand sides, respectively. </w:t>
      </w:r>
      <m:oMath>
        <m:r>
          <w:rPr>
            <w:rFonts w:ascii="Cambria Math" w:hAnsi="Cambria Math" w:cs="Times New Roman"/>
            <w:color w:val="000000" w:themeColor="text1"/>
            <w:sz w:val="22"/>
          </w:rPr>
          <m:t>k</m:t>
        </m:r>
      </m:oMath>
      <w:r w:rsidRPr="00BB0496">
        <w:rPr>
          <w:rFonts w:cs="Times New Roman"/>
          <w:color w:val="000000" w:themeColor="text1"/>
          <w:sz w:val="22"/>
        </w:rPr>
        <w:t xml:space="preserve"> indexes the 19 landing sectors used for reporting, and </w:t>
      </w:r>
      <m:oMath>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S</m:t>
            </m:r>
          </m:e>
          <m:sub>
            <m:r>
              <w:rPr>
                <w:rFonts w:ascii="Cambria Math" w:hAnsi="Cambria Math" w:cs="Times New Roman"/>
                <w:color w:val="000000" w:themeColor="text1"/>
                <w:sz w:val="22"/>
              </w:rPr>
              <m:t>k</m:t>
            </m:r>
          </m:sub>
        </m:sSub>
      </m:oMath>
      <w:r w:rsidRPr="00BB0496">
        <w:rPr>
          <w:rFonts w:cs="Times New Roman"/>
          <w:color w:val="000000" w:themeColor="text1"/>
          <w:sz w:val="22"/>
        </w:rPr>
        <w:t xml:space="preserve">is the set of products mapped to landing sector </w:t>
      </w:r>
      <m:oMath>
        <m:r>
          <w:rPr>
            <w:rFonts w:ascii="Cambria Math" w:hAnsi="Cambria Math" w:cs="Times New Roman"/>
            <w:color w:val="000000" w:themeColor="text1"/>
            <w:sz w:val="22"/>
          </w:rPr>
          <m:t>k</m:t>
        </m:r>
      </m:oMath>
      <w:r w:rsidRPr="00BB0496">
        <w:rPr>
          <w:rFonts w:cs="Times New Roman"/>
          <w:color w:val="000000" w:themeColor="text1"/>
          <w:sz w:val="22"/>
        </w:rPr>
        <w:t xml:space="preserve">. </w:t>
      </w:r>
      <m:oMath>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Y</m:t>
            </m:r>
          </m:e>
          <m:sub>
            <m:r>
              <w:rPr>
                <w:rFonts w:ascii="Cambria Math" w:hAnsi="Cambria Math" w:cs="Times New Roman"/>
                <w:color w:val="000000" w:themeColor="text1"/>
                <w:sz w:val="22"/>
              </w:rPr>
              <m:t>l,t</m:t>
            </m:r>
          </m:sub>
        </m:sSub>
      </m:oMath>
      <w:r w:rsidRPr="00BB0496">
        <w:rPr>
          <w:rFonts w:cs="Times New Roman"/>
          <w:color w:val="000000" w:themeColor="text1"/>
          <w:sz w:val="22"/>
        </w:rPr>
        <w:t xml:space="preserve"> is the demand vector for line </w:t>
      </w:r>
      <m:oMath>
        <m:r>
          <w:rPr>
            <w:rFonts w:ascii="Cambria Math" w:hAnsi="Cambria Math" w:cs="Times New Roman"/>
            <w:color w:val="000000" w:themeColor="text1"/>
            <w:sz w:val="22"/>
          </w:rPr>
          <m:t>l</m:t>
        </m:r>
      </m:oMath>
      <w:r w:rsidRPr="00BB0496">
        <w:rPr>
          <w:rFonts w:cs="Times New Roman"/>
          <w:color w:val="000000" w:themeColor="text1"/>
          <w:sz w:val="22"/>
        </w:rPr>
        <w:t xml:space="preserve"> in year </w:t>
      </w:r>
      <m:oMath>
        <m:r>
          <w:rPr>
            <w:rFonts w:ascii="Cambria Math" w:hAnsi="Cambria Math" w:cs="Times New Roman"/>
            <w:color w:val="000000" w:themeColor="text1"/>
            <w:sz w:val="22"/>
          </w:rPr>
          <m:t>t</m:t>
        </m:r>
      </m:oMath>
      <w:r w:rsidRPr="00BB0496">
        <w:rPr>
          <w:rFonts w:cs="Times New Roman"/>
          <w:color w:val="000000" w:themeColor="text1"/>
          <w:sz w:val="22"/>
        </w:rPr>
        <w:t xml:space="preserve">, expressed in the currency units of the ER table. </w:t>
      </w:r>
      <m:oMath>
        <m:r>
          <m:rPr>
            <m:sty m:val="p"/>
          </m:rPr>
          <w:rPr>
            <w:rFonts w:ascii="Cambria Math" w:hAnsi="Cambria Math" w:cs="Times New Roman"/>
            <w:color w:val="000000" w:themeColor="text1"/>
            <w:sz w:val="22"/>
          </w:rPr>
          <m:t>A</m:t>
        </m:r>
      </m:oMath>
      <w:r w:rsidRPr="00BB0496">
        <w:rPr>
          <w:rFonts w:cs="Times New Roman"/>
          <w:color w:val="000000" w:themeColor="text1"/>
          <w:sz w:val="22"/>
        </w:rPr>
        <w:t xml:space="preserve"> is the matrix of intermediate input coefficients for domestic production, and </w:t>
      </w:r>
      <m:oMath>
        <m:sSup>
          <m:sSupPr>
            <m:ctrlPr>
              <w:rPr>
                <w:rFonts w:ascii="Cambria Math" w:hAnsi="Cambria Math" w:cs="Times New Roman"/>
                <w:color w:val="000000" w:themeColor="text1"/>
                <w:sz w:val="22"/>
              </w:rPr>
            </m:ctrlPr>
          </m:sSupPr>
          <m:e>
            <m:d>
              <m:dPr>
                <m:ctrlPr>
                  <w:rPr>
                    <w:rFonts w:ascii="Cambria Math" w:hAnsi="Cambria Math" w:cs="Times New Roman"/>
                    <w:color w:val="000000" w:themeColor="text1"/>
                    <w:sz w:val="22"/>
                  </w:rPr>
                </m:ctrlPr>
              </m:dPr>
              <m:e>
                <m:r>
                  <m:rPr>
                    <m:sty m:val="p"/>
                  </m:rPr>
                  <w:rPr>
                    <w:rFonts w:ascii="Cambria Math" w:hAnsi="Cambria Math" w:cs="Times New Roman"/>
                    <w:color w:val="000000" w:themeColor="text1"/>
                    <w:sz w:val="22"/>
                  </w:rPr>
                  <m:t>I</m:t>
                </m:r>
                <m:r>
                  <w:rPr>
                    <w:rFonts w:ascii="Cambria Math" w:hAnsi="Cambria Math" w:cs="Times New Roman"/>
                    <w:color w:val="000000" w:themeColor="text1"/>
                    <w:sz w:val="22"/>
                  </w:rPr>
                  <m:t>-</m:t>
                </m:r>
                <m:r>
                  <m:rPr>
                    <m:sty m:val="p"/>
                  </m:rPr>
                  <w:rPr>
                    <w:rFonts w:ascii="Cambria Math" w:hAnsi="Cambria Math" w:cs="Times New Roman"/>
                    <w:color w:val="000000" w:themeColor="text1"/>
                    <w:sz w:val="22"/>
                  </w:rPr>
                  <m:t>A</m:t>
                </m:r>
              </m:e>
            </m:d>
          </m:e>
          <m:sup>
            <m:r>
              <w:rPr>
                <w:rFonts w:ascii="Cambria Math" w:hAnsi="Cambria Math" w:cs="Times New Roman"/>
                <w:color w:val="000000" w:themeColor="text1"/>
                <w:sz w:val="22"/>
              </w:rPr>
              <m:t>-1</m:t>
            </m:r>
          </m:sup>
        </m:sSup>
      </m:oMath>
      <w:r w:rsidRPr="00BB0496">
        <w:rPr>
          <w:rFonts w:cs="Times New Roman"/>
          <w:color w:val="000000" w:themeColor="text1"/>
          <w:sz w:val="22"/>
        </w:rPr>
        <w:t xml:space="preserve">is the resulting Leontief inverse. </w:t>
      </w:r>
      <m:oMath>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s</m:t>
            </m:r>
          </m:e>
        </m:acc>
      </m:oMath>
      <w:r w:rsidRPr="00BB0496">
        <w:rPr>
          <w:rFonts w:cs="Times New Roman"/>
          <w:color w:val="000000" w:themeColor="text1"/>
          <w:sz w:val="22"/>
        </w:rPr>
        <w:t xml:space="preserve"> is the diagonal matrix of domestic supply shares, where each element gives the domestically sourced portion of final demand for a product. </w:t>
      </w:r>
      <m:oMath>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e</m:t>
            </m:r>
          </m:e>
        </m:acc>
      </m:oMath>
      <w:r w:rsidRPr="00BB0496">
        <w:rPr>
          <w:rFonts w:cs="Times New Roman"/>
          <w:color w:val="000000" w:themeColor="text1"/>
          <w:sz w:val="22"/>
        </w:rPr>
        <w:t xml:space="preserve"> is the diagonal matrix of employment coefficients, where each element gives the jobs supported per unit of output. </w:t>
      </w:r>
      <m:oMath>
        <m:r>
          <m:rPr>
            <m:sty m:val="p"/>
          </m:rPr>
          <w:rPr>
            <w:rFonts w:ascii="Cambria Math" w:hAnsi="Cambria Math" w:cs="Times New Roman"/>
            <w:color w:val="000000" w:themeColor="text1"/>
            <w:sz w:val="22"/>
          </w:rPr>
          <m:t>ER</m:t>
        </m:r>
      </m:oMath>
      <w:r w:rsidRPr="00BB0496">
        <w:rPr>
          <w:rFonts w:cs="Times New Roman"/>
          <w:color w:val="000000" w:themeColor="text1"/>
          <w:sz w:val="22"/>
        </w:rPr>
        <w:t xml:space="preserve"> is the employment-requirement table. Its element </w:t>
      </w:r>
      <m:oMath>
        <m:r>
          <w:rPr>
            <w:rFonts w:ascii="Cambria Math" w:hAnsi="Cambria Math" w:cs="Times New Roman"/>
            <w:color w:val="000000" w:themeColor="text1"/>
            <w:sz w:val="22"/>
          </w:rPr>
          <m:t>E</m:t>
        </m:r>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i,p</m:t>
            </m:r>
          </m:sub>
        </m:sSub>
      </m:oMath>
      <w:r w:rsidRPr="00BB0496">
        <w:rPr>
          <w:rFonts w:cs="Times New Roman"/>
          <w:color w:val="000000" w:themeColor="text1"/>
          <w:sz w:val="22"/>
        </w:rPr>
        <w:t xml:space="preserve"> gives domestic jobs in product </w:t>
      </w:r>
      <m:oMath>
        <m:r>
          <w:rPr>
            <w:rFonts w:ascii="Cambria Math" w:hAnsi="Cambria Math" w:cs="Times New Roman"/>
            <w:color w:val="000000" w:themeColor="text1"/>
            <w:sz w:val="22"/>
          </w:rPr>
          <m:t>i</m:t>
        </m:r>
      </m:oMath>
      <w:r w:rsidRPr="00BB0496">
        <w:rPr>
          <w:rFonts w:cs="Times New Roman"/>
          <w:color w:val="000000" w:themeColor="text1"/>
          <w:sz w:val="22"/>
        </w:rPr>
        <w:t xml:space="preserve"> per unit of final demand booked to product </w:t>
      </w:r>
      <m:oMath>
        <m:r>
          <w:rPr>
            <w:rFonts w:ascii="Cambria Math" w:hAnsi="Cambria Math" w:cs="Times New Roman"/>
            <w:color w:val="000000" w:themeColor="text1"/>
            <w:sz w:val="22"/>
          </w:rPr>
          <m:t>p</m:t>
        </m:r>
      </m:oMath>
      <w:r w:rsidRPr="00BB0496">
        <w:rPr>
          <w:rFonts w:cs="Times New Roman"/>
          <w:color w:val="000000" w:themeColor="text1"/>
          <w:sz w:val="22"/>
        </w:rPr>
        <w:t xml:space="preserve">. Its direct-requirement counterpart is </w:t>
      </w:r>
      <m:oMath>
        <m:sSup>
          <m:sSupPr>
            <m:ctrlPr>
              <w:rPr>
                <w:rFonts w:ascii="Cambria Math" w:hAnsi="Cambria Math" w:cs="Times New Roman"/>
                <w:color w:val="000000" w:themeColor="text1"/>
                <w:sz w:val="22"/>
              </w:rPr>
            </m:ctrlPr>
          </m:sSupPr>
          <m:e>
            <m:r>
              <m:rPr>
                <m:sty m:val="p"/>
              </m:rPr>
              <w:rPr>
                <w:rFonts w:ascii="Cambria Math" w:hAnsi="Cambria Math" w:cs="Times New Roman"/>
                <w:color w:val="000000" w:themeColor="text1"/>
                <w:sz w:val="22"/>
              </w:rPr>
              <m:t>ER</m:t>
            </m:r>
          </m:e>
          <m:sup>
            <m:r>
              <w:rPr>
                <w:rFonts w:ascii="Cambria Math" w:hAnsi="Cambria Math" w:cs="Times New Roman"/>
                <w:color w:val="000000" w:themeColor="text1"/>
                <w:sz w:val="22"/>
              </w:rPr>
              <m:t>dir</m:t>
            </m:r>
          </m:sup>
        </m:sSup>
        <m:r>
          <w:rPr>
            <w:rFonts w:ascii="Cambria Math" w:hAnsi="Cambria Math" w:cs="Times New Roman"/>
            <w:color w:val="000000" w:themeColor="text1"/>
            <w:sz w:val="22"/>
          </w:rPr>
          <m:t>=</m:t>
        </m:r>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e</m:t>
            </m:r>
          </m:e>
        </m:acc>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s</m:t>
            </m:r>
          </m:e>
        </m:acc>
      </m:oMath>
      <w:r w:rsidRPr="00BB0496">
        <w:rPr>
          <w:rFonts w:cs="Times New Roman"/>
          <w:color w:val="000000" w:themeColor="text1"/>
          <w:sz w:val="22"/>
        </w:rPr>
        <w:t xml:space="preserve">, which is diagonal because direct employment arises only in the industry supplying the product purchased. </w:t>
      </w:r>
      <m:oMath>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x</m:t>
            </m:r>
          </m:e>
          <m:sub>
            <m:r>
              <w:rPr>
                <w:rFonts w:ascii="Cambria Math" w:hAnsi="Cambria Math" w:cs="Times New Roman"/>
                <w:color w:val="000000" w:themeColor="text1"/>
                <w:sz w:val="22"/>
              </w:rPr>
              <m:t>l,t</m:t>
            </m:r>
          </m:sub>
        </m:sSub>
      </m:oMath>
      <w:r w:rsidRPr="00BB0496">
        <w:rPr>
          <w:rFonts w:cs="Times New Roman"/>
          <w:color w:val="000000" w:themeColor="text1"/>
          <w:sz w:val="22"/>
        </w:rPr>
        <w:t xml:space="preserve">and </w:t>
      </w:r>
      <m:oMath>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n</m:t>
            </m:r>
          </m:e>
          <m:sub>
            <m:r>
              <w:rPr>
                <w:rFonts w:ascii="Cambria Math" w:hAnsi="Cambria Math" w:cs="Times New Roman"/>
                <w:color w:val="000000" w:themeColor="text1"/>
                <w:sz w:val="22"/>
              </w:rPr>
              <m:t>l,t</m:t>
            </m:r>
          </m:sub>
        </m:sSub>
      </m:oMath>
      <w:r w:rsidRPr="00BB0496">
        <w:rPr>
          <w:rFonts w:cs="Times New Roman"/>
          <w:color w:val="000000" w:themeColor="text1"/>
          <w:sz w:val="22"/>
        </w:rPr>
        <w:t xml:space="preserve">are the resulting changes in domestic output and employment. Employment is decomposed into direct and indirect components, </w:t>
      </w:r>
      <m:oMath>
        <m:r>
          <m:rPr>
            <m:sty m:val="p"/>
          </m:rPr>
          <w:rPr>
            <w:rFonts w:ascii="Cambria Math" w:hAnsi="Cambria Math" w:cs="Times New Roman"/>
            <w:color w:val="000000" w:themeColor="text1"/>
            <w:sz w:val="22"/>
          </w:rPr>
          <m:t>Δ</m:t>
        </m:r>
        <m:sSubSup>
          <m:sSubSupPr>
            <m:ctrlPr>
              <w:rPr>
                <w:rFonts w:ascii="Cambria Math" w:hAnsi="Cambria Math" w:cs="Times New Roman"/>
                <w:color w:val="000000" w:themeColor="text1"/>
                <w:sz w:val="22"/>
              </w:rPr>
            </m:ctrlPr>
          </m:sSubSupPr>
          <m:e>
            <m:r>
              <m:rPr>
                <m:sty m:val="b"/>
              </m:rPr>
              <w:rPr>
                <w:rFonts w:ascii="Cambria Math" w:hAnsi="Cambria Math" w:cs="Times New Roman"/>
                <w:color w:val="000000" w:themeColor="text1"/>
                <w:sz w:val="22"/>
              </w:rPr>
              <m:t>n</m:t>
            </m:r>
          </m:e>
          <m:sub>
            <m:r>
              <w:rPr>
                <w:rFonts w:ascii="Cambria Math" w:hAnsi="Cambria Math" w:cs="Times New Roman"/>
                <w:color w:val="000000" w:themeColor="text1"/>
                <w:sz w:val="22"/>
              </w:rPr>
              <m:t>l,t</m:t>
            </m:r>
          </m:sub>
          <m:sup>
            <m:r>
              <w:rPr>
                <w:rFonts w:ascii="Cambria Math" w:hAnsi="Cambria Math" w:cs="Times New Roman"/>
                <w:color w:val="000000" w:themeColor="text1"/>
                <w:sz w:val="22"/>
              </w:rPr>
              <m:t>dir</m:t>
            </m:r>
          </m:sup>
        </m:sSubSup>
      </m:oMath>
      <w:r w:rsidRPr="00BB0496">
        <w:rPr>
          <w:rFonts w:cs="Times New Roman"/>
          <w:color w:val="000000" w:themeColor="text1"/>
          <w:sz w:val="22"/>
        </w:rPr>
        <w:t xml:space="preserve">and </w:t>
      </w:r>
      <m:oMath>
        <m:r>
          <m:rPr>
            <m:sty m:val="p"/>
          </m:rPr>
          <w:rPr>
            <w:rFonts w:ascii="Cambria Math" w:hAnsi="Cambria Math" w:cs="Times New Roman"/>
            <w:color w:val="000000" w:themeColor="text1"/>
            <w:sz w:val="22"/>
          </w:rPr>
          <m:t>Δ</m:t>
        </m:r>
        <m:sSubSup>
          <m:sSubSupPr>
            <m:ctrlPr>
              <w:rPr>
                <w:rFonts w:ascii="Cambria Math" w:hAnsi="Cambria Math" w:cs="Times New Roman"/>
                <w:color w:val="000000" w:themeColor="text1"/>
                <w:sz w:val="22"/>
              </w:rPr>
            </m:ctrlPr>
          </m:sSubSupPr>
          <m:e>
            <m:r>
              <m:rPr>
                <m:sty m:val="b"/>
              </m:rPr>
              <w:rPr>
                <w:rFonts w:ascii="Cambria Math" w:hAnsi="Cambria Math" w:cs="Times New Roman"/>
                <w:color w:val="000000" w:themeColor="text1"/>
                <w:sz w:val="22"/>
              </w:rPr>
              <m:t>n</m:t>
            </m:r>
          </m:e>
          <m:sub>
            <m:r>
              <w:rPr>
                <w:rFonts w:ascii="Cambria Math" w:hAnsi="Cambria Math" w:cs="Times New Roman"/>
                <w:color w:val="000000" w:themeColor="text1"/>
                <w:sz w:val="22"/>
              </w:rPr>
              <m:t>l,t</m:t>
            </m:r>
          </m:sub>
          <m:sup>
            <m:r>
              <w:rPr>
                <w:rFonts w:ascii="Cambria Math" w:hAnsi="Cambria Math" w:cs="Times New Roman"/>
                <w:color w:val="000000" w:themeColor="text1"/>
                <w:sz w:val="22"/>
              </w:rPr>
              <m:t>ind</m:t>
            </m:r>
          </m:sup>
        </m:sSubSup>
      </m:oMath>
      <w:r w:rsidRPr="00BB0496">
        <w:rPr>
          <w:rFonts w:cs="Times New Roman"/>
          <w:color w:val="000000" w:themeColor="text1"/>
          <w:sz w:val="22"/>
        </w:rPr>
        <w:t xml:space="preserve">. </w:t>
      </w:r>
      <m:oMath>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k,t</m:t>
            </m:r>
          </m:sub>
        </m:sSub>
      </m:oMath>
      <w:r w:rsidRPr="00BB0496">
        <w:rPr>
          <w:rFonts w:cs="Times New Roman"/>
          <w:color w:val="000000" w:themeColor="text1"/>
          <w:sz w:val="22"/>
        </w:rPr>
        <w:t xml:space="preserve">is employment in landing sector </w:t>
      </w:r>
      <m:oMath>
        <m:r>
          <w:rPr>
            <w:rFonts w:ascii="Cambria Math" w:hAnsi="Cambria Math" w:cs="Times New Roman"/>
            <w:color w:val="000000" w:themeColor="text1"/>
            <w:sz w:val="22"/>
          </w:rPr>
          <m:t>k</m:t>
        </m:r>
      </m:oMath>
      <w:r w:rsidRPr="00BB0496">
        <w:rPr>
          <w:rFonts w:cs="Times New Roman"/>
          <w:color w:val="000000" w:themeColor="text1"/>
          <w:sz w:val="22"/>
        </w:rPr>
        <w:t xml:space="preserve">in year </w:t>
      </w:r>
      <m:oMath>
        <m:r>
          <w:rPr>
            <w:rFonts w:ascii="Cambria Math" w:hAnsi="Cambria Math" w:cs="Times New Roman"/>
            <w:color w:val="000000" w:themeColor="text1"/>
            <w:sz w:val="22"/>
          </w:rPr>
          <m:t>t</m:t>
        </m:r>
      </m:oMath>
      <w:r w:rsidRPr="00BB0496">
        <w:rPr>
          <w:rFonts w:cs="Times New Roman"/>
          <w:color w:val="000000" w:themeColor="text1"/>
          <w:sz w:val="22"/>
        </w:rPr>
        <w:t xml:space="preserve">, and </w:t>
      </w:r>
      <m:oMath>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t</m:t>
            </m:r>
          </m:sub>
        </m:sSub>
      </m:oMath>
      <w:r w:rsidRPr="00BB0496">
        <w:rPr>
          <w:rFonts w:cs="Times New Roman"/>
          <w:color w:val="000000" w:themeColor="text1"/>
          <w:sz w:val="22"/>
        </w:rPr>
        <w:t xml:space="preserve">is net employment in that year, measured as the number of jobs supported in that year. </w:t>
      </w:r>
      <w:proofErr w:type="gramStart"/>
      <w:r w:rsidRPr="00BB0496">
        <w:rPr>
          <w:rFonts w:cs="Times New Roman"/>
          <w:color w:val="000000" w:themeColor="text1"/>
          <w:sz w:val="22"/>
        </w:rPr>
        <w:t>Summing</w:t>
      </w:r>
      <w:proofErr w:type="gramEnd"/>
      <w:r w:rsidRPr="00BB0496">
        <w:rPr>
          <w:rFonts w:cs="Times New Roman"/>
          <w:color w:val="000000" w:themeColor="text1"/>
          <w:sz w:val="22"/>
        </w:rPr>
        <w:t xml:space="preserve"> annual employment over the 33-year period gives the cumulative total, </w:t>
      </w:r>
      <m:oMath>
        <m:sSup>
          <m:sSupPr>
            <m:ctrlPr>
              <w:rPr>
                <w:rFonts w:ascii="Cambria Math" w:hAnsi="Cambria Math" w:cs="Times New Roman"/>
                <w:color w:val="000000" w:themeColor="text1"/>
                <w:sz w:val="22"/>
              </w:rPr>
            </m:ctrlPr>
          </m:sSupPr>
          <m:e>
            <m:r>
              <w:rPr>
                <w:rFonts w:ascii="Cambria Math" w:hAnsi="Cambria Math" w:cs="Times New Roman"/>
                <w:color w:val="000000" w:themeColor="text1"/>
                <w:sz w:val="22"/>
              </w:rPr>
              <m:t>N</m:t>
            </m:r>
          </m:e>
          <m:sup>
            <m:r>
              <w:rPr>
                <w:rFonts w:ascii="Cambria Math" w:hAnsi="Cambria Math" w:cs="Times New Roman"/>
                <w:color w:val="000000" w:themeColor="text1"/>
                <w:sz w:val="22"/>
              </w:rPr>
              <m:t>cum</m:t>
            </m:r>
          </m:sup>
        </m:sSup>
      </m:oMath>
      <w:r w:rsidRPr="00BB0496">
        <w:rPr>
          <w:rFonts w:cs="Times New Roman"/>
          <w:color w:val="000000" w:themeColor="text1"/>
          <w:sz w:val="22"/>
        </w:rPr>
        <w:t>, in job-years.</w:t>
      </w:r>
    </w:p>
    <w:p w14:paraId="1C0E81F8" w14:textId="77777777" w:rsidR="00BB0496" w:rsidRPr="00BB0496" w:rsidRDefault="00BB0496" w:rsidP="00BB0496">
      <w:pPr>
        <w:spacing w:line="276" w:lineRule="auto"/>
        <w:ind w:firstLine="360"/>
        <w:jc w:val="both"/>
        <w:rPr>
          <w:rFonts w:cs="Times New Roman"/>
          <w:color w:val="000000" w:themeColor="text1"/>
          <w:sz w:val="22"/>
        </w:rPr>
      </w:pPr>
    </w:p>
    <w:p w14:paraId="739CC428" w14:textId="77777777" w:rsidR="00BB0496" w:rsidRPr="00BB0496" w:rsidRDefault="00BB0496" w:rsidP="00BB0496">
      <w:pPr>
        <w:spacing w:line="276" w:lineRule="auto"/>
        <w:ind w:firstLine="360"/>
        <w:jc w:val="both"/>
        <w:rPr>
          <w:rFonts w:cs="Times New Roman"/>
          <w:color w:val="000000" w:themeColor="text1"/>
          <w:sz w:val="22"/>
        </w:rPr>
      </w:pPr>
      <w:r w:rsidRPr="00BB0496">
        <w:rPr>
          <w:rFonts w:cs="Times New Roman"/>
          <w:color w:val="000000" w:themeColor="text1"/>
          <w:sz w:val="22"/>
        </w:rPr>
        <w:t xml:space="preserve">The ER table gives direct and indirect employment </w:t>
      </w:r>
      <w:proofErr w:type="gramStart"/>
      <w:r w:rsidRPr="00BB0496">
        <w:rPr>
          <w:rFonts w:cs="Times New Roman"/>
          <w:color w:val="000000" w:themeColor="text1"/>
          <w:sz w:val="22"/>
        </w:rPr>
        <w:t>supported</w:t>
      </w:r>
      <w:proofErr w:type="gramEnd"/>
      <w:r w:rsidRPr="00BB0496">
        <w:rPr>
          <w:rFonts w:cs="Times New Roman"/>
          <w:color w:val="000000" w:themeColor="text1"/>
          <w:sz w:val="22"/>
        </w:rPr>
        <w:t xml:space="preserve"> across industries per unit of final demand for a given product. GLORIA reports employment coefficients directly in its 2019 base tables, which avoids the need for wage-based imputation. These coefficients measure jobs supported per unit of output rather than distinct workers hired. They do not provide information on job duration, job quality, or wage levels, </w:t>
      </w:r>
      <w:r w:rsidRPr="00BB0496">
        <w:rPr>
          <w:rFonts w:cs="Times New Roman"/>
          <w:color w:val="000000" w:themeColor="text1"/>
          <w:sz w:val="22"/>
        </w:rPr>
        <w:lastRenderedPageBreak/>
        <w:t>and the estimates are not reported as full-time equivalents. The coefficients are held constant through the projection period and therefore do not incorporate labor-productivity growth. For Morocco, the calculation applies the country's 2019 domestic supply shares, production structure, and product-specific employment coefficients when translating demand into jobs. All input-output procedures, including matrix extraction and employment calculations, are documented in Python and R and are available in the Supplementary Materials.</w:t>
      </w:r>
    </w:p>
    <w:p w14:paraId="601E3428" w14:textId="77777777" w:rsidR="00BB0496" w:rsidRPr="00BB0496" w:rsidRDefault="00BB0496" w:rsidP="00BB0496">
      <w:pPr>
        <w:spacing w:line="276" w:lineRule="auto"/>
        <w:ind w:firstLine="360"/>
        <w:jc w:val="both"/>
        <w:rPr>
          <w:rFonts w:cs="Times New Roman"/>
          <w:color w:val="000000" w:themeColor="text1"/>
          <w:sz w:val="22"/>
        </w:rPr>
      </w:pPr>
    </w:p>
    <w:p w14:paraId="25105391" w14:textId="77777777" w:rsidR="00BB0496" w:rsidRPr="00BB0496" w:rsidRDefault="00BB0496">
      <w:pPr>
        <w:rPr>
          <w:color w:val="000000" w:themeColor="text1"/>
        </w:rPr>
      </w:pPr>
    </w:p>
    <w:sectPr w:rsidR="00BB0496" w:rsidRPr="00BB0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496"/>
    <w:rsid w:val="007F6E4F"/>
    <w:rsid w:val="00BB0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A0497"/>
  <w15:chartTrackingRefBased/>
  <w15:docId w15:val="{E8186D1D-4D99-4FEB-9E49-6297B5DFE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496"/>
    <w:pPr>
      <w:spacing w:after="120" w:line="360"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BB049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B049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B049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B0496"/>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BB0496"/>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BB0496"/>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BB0496"/>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BB0496"/>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BB0496"/>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496"/>
    <w:rPr>
      <w:rFonts w:eastAsiaTheme="majorEastAsia" w:cstheme="majorBidi"/>
      <w:color w:val="272727" w:themeColor="text1" w:themeTint="D8"/>
    </w:rPr>
  </w:style>
  <w:style w:type="paragraph" w:styleId="Title">
    <w:name w:val="Title"/>
    <w:basedOn w:val="Normal"/>
    <w:next w:val="Normal"/>
    <w:link w:val="TitleChar"/>
    <w:uiPriority w:val="10"/>
    <w:qFormat/>
    <w:rsid w:val="00BB049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B0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49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B0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496"/>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BB0496"/>
    <w:rPr>
      <w:i/>
      <w:iCs/>
      <w:color w:val="404040" w:themeColor="text1" w:themeTint="BF"/>
    </w:rPr>
  </w:style>
  <w:style w:type="paragraph" w:styleId="ListParagraph">
    <w:name w:val="List Paragraph"/>
    <w:basedOn w:val="Normal"/>
    <w:uiPriority w:val="34"/>
    <w:qFormat/>
    <w:rsid w:val="00BB0496"/>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BB0496"/>
    <w:rPr>
      <w:i/>
      <w:iCs/>
      <w:color w:val="0F4761" w:themeColor="accent1" w:themeShade="BF"/>
    </w:rPr>
  </w:style>
  <w:style w:type="paragraph" w:styleId="IntenseQuote">
    <w:name w:val="Intense Quote"/>
    <w:basedOn w:val="Normal"/>
    <w:next w:val="Normal"/>
    <w:link w:val="IntenseQuoteChar"/>
    <w:uiPriority w:val="30"/>
    <w:qFormat/>
    <w:rsid w:val="00BB049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BB0496"/>
    <w:rPr>
      <w:i/>
      <w:iCs/>
      <w:color w:val="0F4761" w:themeColor="accent1" w:themeShade="BF"/>
    </w:rPr>
  </w:style>
  <w:style w:type="character" w:styleId="IntenseReference">
    <w:name w:val="Intense Reference"/>
    <w:basedOn w:val="DefaultParagraphFont"/>
    <w:uiPriority w:val="32"/>
    <w:qFormat/>
    <w:rsid w:val="00BB04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557</Words>
  <Characters>3177</Characters>
  <Application>Microsoft Office Word</Application>
  <DocSecurity>0</DocSecurity>
  <Lines>26</Lines>
  <Paragraphs>7</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Esteves</dc:creator>
  <cp:keywords/>
  <dc:description/>
  <cp:lastModifiedBy>Fernando Esteves</cp:lastModifiedBy>
  <cp:revision>1</cp:revision>
  <dcterms:created xsi:type="dcterms:W3CDTF">2026-09-03T01:57:00Z</dcterms:created>
  <dcterms:modified xsi:type="dcterms:W3CDTF">2026-09-03T01:58:00Z</dcterms:modified>
</cp:coreProperties>
</file>