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B8E6" w14:textId="77777777" w:rsidR="00F23D0F" w:rsidRPr="00F23D0F" w:rsidRDefault="00F23D0F" w:rsidP="00F23D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3D0F">
        <w:rPr>
          <w:rFonts w:ascii="Times New Roman" w:eastAsia="Times New Roman" w:hAnsi="Times New Roman" w:cs="Times New Roman"/>
          <w:b/>
          <w:bCs/>
          <w:kern w:val="0"/>
          <w:sz w:val="36"/>
          <w:szCs w:val="36"/>
          <w14:ligatures w14:val="none"/>
        </w:rPr>
        <w:t>1. Assessment of Novelty and Usefulness</w:t>
      </w:r>
    </w:p>
    <w:p w14:paraId="300F1A8F"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Honest assessment: Yes, this paper would have a clear place in the literature, and the contribution is genuinely novel.</w:t>
      </w:r>
      <w:r w:rsidRPr="00F23D0F">
        <w:rPr>
          <w:rFonts w:ascii="Times New Roman" w:eastAsia="Times New Roman" w:hAnsi="Times New Roman" w:cs="Times New Roman"/>
          <w:kern w:val="0"/>
          <w14:ligatures w14:val="none"/>
        </w:rPr>
        <w:t xml:space="preserve"> Here's why:</w:t>
      </w:r>
    </w:p>
    <w:p w14:paraId="4E7AB2F8"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 xml:space="preserve">The existing literature on climate mitigation and employment falls into two broad camps. The first produces point estimates of employment multipliers for specific sectors or technologies (your previous paper included). The second uses CGE or macro models to project aggregate employment effects under specific scenarios. What's missing — and what your proposed framework addresses — is a systematic exploration of </w:t>
      </w:r>
      <w:r w:rsidRPr="00F23D0F">
        <w:rPr>
          <w:rFonts w:ascii="Times New Roman" w:eastAsia="Times New Roman" w:hAnsi="Times New Roman" w:cs="Times New Roman"/>
          <w:i/>
          <w:iCs/>
          <w:kern w:val="0"/>
          <w14:ligatures w14:val="none"/>
        </w:rPr>
        <w:t>when and why</w:t>
      </w:r>
      <w:r w:rsidRPr="00F23D0F">
        <w:rPr>
          <w:rFonts w:ascii="Times New Roman" w:eastAsia="Times New Roman" w:hAnsi="Times New Roman" w:cs="Times New Roman"/>
          <w:kern w:val="0"/>
          <w14:ligatures w14:val="none"/>
        </w:rPr>
        <w:t xml:space="preserve"> climate investments create jobs, and </w:t>
      </w:r>
      <w:r w:rsidRPr="00F23D0F">
        <w:rPr>
          <w:rFonts w:ascii="Times New Roman" w:eastAsia="Times New Roman" w:hAnsi="Times New Roman" w:cs="Times New Roman"/>
          <w:i/>
          <w:iCs/>
          <w:kern w:val="0"/>
          <w14:ligatures w14:val="none"/>
        </w:rPr>
        <w:t>what makes that outcome fragile or robust</w:t>
      </w:r>
      <w:r w:rsidRPr="00F23D0F">
        <w:rPr>
          <w:rFonts w:ascii="Times New Roman" w:eastAsia="Times New Roman" w:hAnsi="Times New Roman" w:cs="Times New Roman"/>
          <w:kern w:val="0"/>
          <w14:ligatures w14:val="none"/>
        </w:rPr>
        <w:t xml:space="preserve"> across contexts.</w:t>
      </w:r>
    </w:p>
    <w:p w14:paraId="5430B7D3"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The specific gap:</w:t>
      </w:r>
      <w:r w:rsidRPr="00F23D0F">
        <w:rPr>
          <w:rFonts w:ascii="Times New Roman" w:eastAsia="Times New Roman" w:hAnsi="Times New Roman" w:cs="Times New Roman"/>
          <w:kern w:val="0"/>
          <w14:ligatures w14:val="none"/>
        </w:rPr>
        <w:t xml:space="preserve"> Most studies treat the cost structure of decarbonization investments as fixed inputs to an I-O or CGE model. They report a multiplier and move on. Nobody is systematically asking: "How sensitive are these employment outcomes to assumptions about capital intensity, import shares, learning rates, and technology costs?" And critically, nobody is using scenario discovery methods to identify the </w:t>
      </w:r>
      <w:r w:rsidRPr="00F23D0F">
        <w:rPr>
          <w:rFonts w:ascii="Times New Roman" w:eastAsia="Times New Roman" w:hAnsi="Times New Roman" w:cs="Times New Roman"/>
          <w:i/>
          <w:iCs/>
          <w:kern w:val="0"/>
          <w14:ligatures w14:val="none"/>
        </w:rPr>
        <w:t>decision-relevant boundaries</w:t>
      </w:r>
      <w:r w:rsidRPr="00F23D0F">
        <w:rPr>
          <w:rFonts w:ascii="Times New Roman" w:eastAsia="Times New Roman" w:hAnsi="Times New Roman" w:cs="Times New Roman"/>
          <w:kern w:val="0"/>
          <w14:ligatures w14:val="none"/>
        </w:rPr>
        <w:t xml:space="preserve"> — the conditions that separate job-positive from job-negative outcomes.</w:t>
      </w:r>
    </w:p>
    <w:p w14:paraId="6C08EA6C"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What makes this useful:</w:t>
      </w:r>
      <w:r w:rsidRPr="00F23D0F">
        <w:rPr>
          <w:rFonts w:ascii="Times New Roman" w:eastAsia="Times New Roman" w:hAnsi="Times New Roman" w:cs="Times New Roman"/>
          <w:kern w:val="0"/>
          <w14:ligatures w14:val="none"/>
        </w:rPr>
        <w:t xml:space="preserve"> Policymakers don't just need to know that "solar investment creates X jobs per million dollars." They need to know under what conditions that holds, what could undermine it (e.g., high import dependence for panels), and how those vulnerabilities differ between, say, Mexico and Uganda. Your framework answers exactly this kind of question.</w:t>
      </w:r>
    </w:p>
    <w:p w14:paraId="2D162A18"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Potential weaknesses to be aware of:</w:t>
      </w:r>
    </w:p>
    <w:p w14:paraId="4659B41C" w14:textId="77777777" w:rsidR="00F23D0F" w:rsidRPr="00F23D0F" w:rsidRDefault="00F23D0F" w:rsidP="00F23D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Reviewers may push back on the I-O framework's static assumptions (no price adjustments, no labor market equilibrium). You'll need to be upfront that this is an exploratory, not predictive, exercise — and that the RDM framing actually turns this limitation into a feature by treating structural parameters as uncertainties.</w:t>
      </w:r>
    </w:p>
    <w:p w14:paraId="7A5F6465" w14:textId="77777777" w:rsidR="00F23D0F" w:rsidRPr="00F23D0F" w:rsidRDefault="00F23D0F" w:rsidP="00F23D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The country set is eclectic (Mexico, Belize, Uganda, Egypt, Morocco, Libya, Bulgaria). You'll need a strong justification — I'd frame it as deliberate heterogeneity in economic structure, development stage, and energy systems, which is precisely what you need to stress-test the framework.</w:t>
      </w:r>
    </w:p>
    <w:p w14:paraId="389B68CF" w14:textId="77777777" w:rsidR="00F23D0F" w:rsidRPr="00F23D0F" w:rsidRDefault="00F23D0F" w:rsidP="00F23D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The learning curve extension is important but could become a paper in itself. Keep it focused on how it feeds variation into the cost structures rather than deep-diving into the econometrics of learning rates.</w:t>
      </w:r>
    </w:p>
    <w:p w14:paraId="3D109940"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Overall: I'd rate this as a solid, publishable contribution with genuine novelty.</w:t>
      </w:r>
      <w:r w:rsidRPr="00F23D0F">
        <w:rPr>
          <w:rFonts w:ascii="Times New Roman" w:eastAsia="Times New Roman" w:hAnsi="Times New Roman" w:cs="Times New Roman"/>
          <w:kern w:val="0"/>
          <w14:ligatures w14:val="none"/>
        </w:rPr>
        <w:t xml:space="preserve"> The RDM + scenario discovery angle applied to employment effects of climate investment is, to my knowledge, unexplored territory.</w:t>
      </w:r>
    </w:p>
    <w:p w14:paraId="40D4141A" w14:textId="77777777" w:rsidR="00F23D0F" w:rsidRPr="00F23D0F" w:rsidRDefault="00527728" w:rsidP="00F23D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0A373C">
          <v:rect id="_x0000_i1025" alt="" style="width:468pt;height:.05pt;mso-width-percent:0;mso-height-percent:0;mso-width-percent:0;mso-height-percent:0" o:hralign="center" o:hrstd="t" o:hr="t" fillcolor="#a0a0a0" stroked="f"/>
        </w:pict>
      </w:r>
    </w:p>
    <w:p w14:paraId="2313F9D8" w14:textId="77777777" w:rsidR="00F23D0F" w:rsidRPr="00F23D0F" w:rsidRDefault="00F23D0F" w:rsidP="00F23D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3D0F">
        <w:rPr>
          <w:rFonts w:ascii="Times New Roman" w:eastAsia="Times New Roman" w:hAnsi="Times New Roman" w:cs="Times New Roman"/>
          <w:b/>
          <w:bCs/>
          <w:kern w:val="0"/>
          <w:sz w:val="36"/>
          <w:szCs w:val="36"/>
          <w14:ligatures w14:val="none"/>
        </w:rPr>
        <w:t>2. Reframing the Contribution</w:t>
      </w:r>
    </w:p>
    <w:p w14:paraId="5064A97C"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lastRenderedPageBreak/>
        <w:t>The gap, stated crisply:</w:t>
      </w:r>
    </w:p>
    <w:p w14:paraId="40C6E7F8"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The literature on green employment effects relies on static, single-scenario estimates that obscure the structural conditions under which climate investments generate (or fail to generate) positive employment outcomes. Existing studies report employment multipliers as though they were stable properties of technologies, when in fact they depend on cost-structure assumptions — capital vs. labor intensity, domestic vs. imported inputs, technology maturity, and learning dynamics — that vary substantially across countries and over time. No existing framework systematically explores this uncertainty space to identify the conditions that make employment co-benefits robust or fragile.</w:t>
      </w:r>
    </w:p>
    <w:p w14:paraId="29BDDA7B"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How this work fills it:</w:t>
      </w:r>
    </w:p>
    <w:p w14:paraId="73735BCD"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This paper introduces an exploratory modeling framework that treats the cost structure of decarbonization pathways as a space of uncertainty rather than a set of fixed parameters. By coupling emissions pathway modeling (SISEPUEDE) with input-output employment estimation (MINDSET) and applying scenario discovery methods from the Robust Decision Making tradition, we identify the cost-structure conditions under which climate mitigation investments generate positive job demand — and how those conditions vary across seven countries spanning different development levels, economic structures, and energy systems. The contribution is methodological (a replicable analytical workflow) and substantive (empirically grounded findings about the structural drivers of green employment).</w:t>
      </w:r>
    </w:p>
    <w:p w14:paraId="2B95AD60" w14:textId="77777777" w:rsidR="00F23D0F" w:rsidRPr="00F23D0F" w:rsidRDefault="00527728" w:rsidP="00F23D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50E5E8">
          <v:rect id="_x0000_i1026" alt="" style="width:468pt;height:.05pt;mso-width-percent:0;mso-height-percent:0;mso-width-percent:0;mso-height-percent:0" o:hralign="center" o:hrstd="t" o:hr="t" fillcolor="#a0a0a0" stroked="f"/>
        </w:pict>
      </w:r>
    </w:p>
    <w:p w14:paraId="282916EA" w14:textId="77777777" w:rsidR="00F23D0F" w:rsidRPr="00F23D0F" w:rsidRDefault="00F23D0F" w:rsidP="00F23D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3D0F">
        <w:rPr>
          <w:rFonts w:ascii="Times New Roman" w:eastAsia="Times New Roman" w:hAnsi="Times New Roman" w:cs="Times New Roman"/>
          <w:b/>
          <w:bCs/>
          <w:kern w:val="0"/>
          <w:sz w:val="36"/>
          <w:szCs w:val="36"/>
          <w14:ligatures w14:val="none"/>
        </w:rPr>
        <w:t>3. Proposed Paper Structure</w:t>
      </w:r>
    </w:p>
    <w:p w14:paraId="4B60DD15"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Title area</w:t>
      </w:r>
      <w:r w:rsidRPr="00F23D0F">
        <w:rPr>
          <w:rFonts w:ascii="Times New Roman" w:eastAsia="Times New Roman" w:hAnsi="Times New Roman" w:cs="Times New Roman"/>
          <w:kern w:val="0"/>
          <w14:ligatures w14:val="none"/>
        </w:rPr>
        <w:t xml:space="preserve"> (see section 5 below)</w:t>
      </w:r>
    </w:p>
    <w:p w14:paraId="5E0E52CE"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Abstract</w:t>
      </w:r>
    </w:p>
    <w:p w14:paraId="668BA36B" w14:textId="77777777" w:rsidR="00F23D0F" w:rsidRPr="00F23D0F" w:rsidRDefault="00F23D0F" w:rsidP="00F23D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D0F">
        <w:rPr>
          <w:rFonts w:ascii="Times New Roman" w:eastAsia="Times New Roman" w:hAnsi="Times New Roman" w:cs="Times New Roman"/>
          <w:b/>
          <w:bCs/>
          <w:kern w:val="0"/>
          <w:sz w:val="27"/>
          <w:szCs w:val="27"/>
          <w14:ligatures w14:val="none"/>
        </w:rPr>
        <w:t>1. Introduction</w:t>
      </w:r>
    </w:p>
    <w:p w14:paraId="16092002" w14:textId="77777777" w:rsidR="00F23D0F" w:rsidRPr="00F23D0F" w:rsidRDefault="00F23D0F" w:rsidP="00F23D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The dual imperative: decarbonization and employment in developing/middle-income countries</w:t>
      </w:r>
    </w:p>
    <w:p w14:paraId="771DA1EC" w14:textId="77777777" w:rsidR="00F23D0F" w:rsidRPr="00F23D0F" w:rsidRDefault="00F23D0F" w:rsidP="00F23D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The limitation of current approaches: static, single-scenario employment estimates</w:t>
      </w:r>
    </w:p>
    <w:p w14:paraId="46D9D996" w14:textId="77777777" w:rsidR="00F23D0F" w:rsidRPr="00F23D0F" w:rsidRDefault="00F23D0F" w:rsidP="00F23D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Research question: Under what cost-structure conditions do climate mitigation investments generate positive job demand, and how do these conditions vary across country contexts?</w:t>
      </w:r>
    </w:p>
    <w:p w14:paraId="2E7D3D43" w14:textId="77777777" w:rsidR="00F23D0F" w:rsidRPr="00F23D0F" w:rsidRDefault="00F23D0F" w:rsidP="00F23D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Preview of contribution and approach</w:t>
      </w:r>
    </w:p>
    <w:p w14:paraId="15A41127" w14:textId="77777777" w:rsidR="00F23D0F" w:rsidRPr="00F23D0F" w:rsidRDefault="00F23D0F" w:rsidP="00F23D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D0F">
        <w:rPr>
          <w:rFonts w:ascii="Times New Roman" w:eastAsia="Times New Roman" w:hAnsi="Times New Roman" w:cs="Times New Roman"/>
          <w:b/>
          <w:bCs/>
          <w:kern w:val="0"/>
          <w:sz w:val="27"/>
          <w:szCs w:val="27"/>
          <w14:ligatures w14:val="none"/>
        </w:rPr>
        <w:t>2. Literature Review and Positioning</w:t>
      </w:r>
    </w:p>
    <w:p w14:paraId="5232C887" w14:textId="77777777" w:rsidR="00F23D0F" w:rsidRPr="00F23D0F" w:rsidRDefault="00F23D0F" w:rsidP="00F23D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2.1 Employment effects of climate mitigation investments (I-O and CGE traditions, key findings, limitations)</w:t>
      </w:r>
    </w:p>
    <w:p w14:paraId="0143C833" w14:textId="77777777" w:rsidR="00F23D0F" w:rsidRPr="00F23D0F" w:rsidRDefault="00F23D0F" w:rsidP="00F23D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lastRenderedPageBreak/>
        <w:t>2.2 Cost structures of decarbonization: learning curves, capital intensity, and import dependence</w:t>
      </w:r>
    </w:p>
    <w:p w14:paraId="2064083F" w14:textId="77777777" w:rsidR="00F23D0F" w:rsidRPr="00F23D0F" w:rsidRDefault="00F23D0F" w:rsidP="00F23D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2.3 Decision Making Under Deep Uncertainty and scenario discovery (brief, focused on why it's appropriate here)</w:t>
      </w:r>
    </w:p>
    <w:p w14:paraId="389D29D0" w14:textId="77777777" w:rsidR="00F23D0F" w:rsidRPr="00F23D0F" w:rsidRDefault="00F23D0F" w:rsidP="00F23D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2.4 The gap: no systematic exploration of cost-structure uncertainty in green employment estimation</w:t>
      </w:r>
    </w:p>
    <w:p w14:paraId="0059D623" w14:textId="77777777" w:rsidR="00F23D0F" w:rsidRPr="00F23D0F" w:rsidRDefault="00F23D0F" w:rsidP="00F23D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D0F">
        <w:rPr>
          <w:rFonts w:ascii="Times New Roman" w:eastAsia="Times New Roman" w:hAnsi="Times New Roman" w:cs="Times New Roman"/>
          <w:b/>
          <w:bCs/>
          <w:kern w:val="0"/>
          <w:sz w:val="27"/>
          <w:szCs w:val="27"/>
          <w14:ligatures w14:val="none"/>
        </w:rPr>
        <w:t>3. Analytical Framework</w:t>
      </w:r>
    </w:p>
    <w:p w14:paraId="1178B61D" w14:textId="77777777" w:rsidR="00F23D0F" w:rsidRPr="00F23D0F" w:rsidRDefault="00F23D0F" w:rsidP="00F23D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3.1 Overview of the workflow (a clear figure mapping the six steps)</w:t>
      </w:r>
    </w:p>
    <w:p w14:paraId="5EEF2F41" w14:textId="77777777" w:rsidR="00F23D0F" w:rsidRPr="00F23D0F" w:rsidRDefault="00F23D0F" w:rsidP="00F23D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3.2 Pathway construction with SISEPUEDE</w:t>
      </w:r>
    </w:p>
    <w:p w14:paraId="18F4CC14" w14:textId="77777777" w:rsidR="00F23D0F" w:rsidRPr="00F23D0F" w:rsidRDefault="00F23D0F" w:rsidP="00F23D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3.3 Cost estimation and learning curve extension</w:t>
      </w:r>
    </w:p>
    <w:p w14:paraId="0245E3CD" w14:textId="77777777" w:rsidR="00F23D0F" w:rsidRPr="00F23D0F" w:rsidRDefault="00F23D0F" w:rsidP="00F23D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3.4 Cost-structure translation and input-output mapping (MINDSET)</w:t>
      </w:r>
    </w:p>
    <w:p w14:paraId="4E40DC5B" w14:textId="77777777" w:rsidR="00F23D0F" w:rsidRPr="00F23D0F" w:rsidRDefault="00F23D0F" w:rsidP="00F23D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 xml:space="preserve">3.5 Experimental design: parameterizing cost-structure uncertainty </w:t>
      </w:r>
    </w:p>
    <w:p w14:paraId="29526155" w14:textId="77777777" w:rsidR="00F23D0F" w:rsidRPr="00F23D0F" w:rsidRDefault="00F23D0F" w:rsidP="00F23D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Define the uncertainty dimensions (capital intensity, import shares, learning rates, technology costs, labor productivity)</w:t>
      </w:r>
    </w:p>
    <w:p w14:paraId="586CD54A" w14:textId="77777777" w:rsidR="00F23D0F" w:rsidRPr="00F23D0F" w:rsidRDefault="00F23D0F" w:rsidP="00F23D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Sampling strategy (Latin Hypercube or similar)</w:t>
      </w:r>
    </w:p>
    <w:p w14:paraId="623F68CC" w14:textId="77777777" w:rsidR="00F23D0F" w:rsidRPr="00F23D0F" w:rsidRDefault="00F23D0F" w:rsidP="00F23D0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Ranges and justification from the literature</w:t>
      </w:r>
    </w:p>
    <w:p w14:paraId="35A4500C" w14:textId="77777777" w:rsidR="00F23D0F" w:rsidRPr="00F23D0F" w:rsidRDefault="00F23D0F" w:rsidP="00F23D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3.6 Scenario discovery methods (PRIM, classification trees, or both)</w:t>
      </w:r>
    </w:p>
    <w:p w14:paraId="7B9FB273" w14:textId="77777777" w:rsidR="00F23D0F" w:rsidRPr="00F23D0F" w:rsidRDefault="00F23D0F" w:rsidP="00F23D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D0F">
        <w:rPr>
          <w:rFonts w:ascii="Times New Roman" w:eastAsia="Times New Roman" w:hAnsi="Times New Roman" w:cs="Times New Roman"/>
          <w:b/>
          <w:bCs/>
          <w:kern w:val="0"/>
          <w:sz w:val="27"/>
          <w:szCs w:val="27"/>
          <w14:ligatures w14:val="none"/>
        </w:rPr>
        <w:t>4. Country Cases and Data</w:t>
      </w:r>
    </w:p>
    <w:p w14:paraId="388DDAAB" w14:textId="77777777" w:rsidR="00F23D0F" w:rsidRPr="00F23D0F" w:rsidRDefault="00F23D0F" w:rsidP="00F23D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4.1 Rationale for country selection (deliberate heterogeneity)</w:t>
      </w:r>
    </w:p>
    <w:p w14:paraId="350A9362" w14:textId="77777777" w:rsidR="00F23D0F" w:rsidRPr="00F23D0F" w:rsidRDefault="00F23D0F" w:rsidP="00F23D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4.2 Country profiles: economic structure, energy systems, labor markets</w:t>
      </w:r>
    </w:p>
    <w:p w14:paraId="71C4F875" w14:textId="77777777" w:rsidR="00F23D0F" w:rsidRPr="00F23D0F" w:rsidRDefault="00F23D0F" w:rsidP="00F23D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4.3 Data sources and calibration</w:t>
      </w:r>
    </w:p>
    <w:p w14:paraId="2C7C82E3" w14:textId="77777777" w:rsidR="00F23D0F" w:rsidRPr="00F23D0F" w:rsidRDefault="00F23D0F" w:rsidP="00F23D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D0F">
        <w:rPr>
          <w:rFonts w:ascii="Times New Roman" w:eastAsia="Times New Roman" w:hAnsi="Times New Roman" w:cs="Times New Roman"/>
          <w:b/>
          <w:bCs/>
          <w:kern w:val="0"/>
          <w:sz w:val="27"/>
          <w:szCs w:val="27"/>
          <w14:ligatures w14:val="none"/>
        </w:rPr>
        <w:t>5. Results</w:t>
      </w:r>
    </w:p>
    <w:p w14:paraId="3FB604F9" w14:textId="77777777" w:rsidR="00F23D0F" w:rsidRPr="00F23D0F" w:rsidRDefault="00F23D0F" w:rsidP="00F23D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5.1 Baseline employment estimates across countries and sectors</w:t>
      </w:r>
    </w:p>
    <w:p w14:paraId="44E99B60" w14:textId="77777777" w:rsidR="00F23D0F" w:rsidRPr="00F23D0F" w:rsidRDefault="00F23D0F" w:rsidP="00F23D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5.2 Sensitivity of employment outcomes to cost-structure assumptions</w:t>
      </w:r>
    </w:p>
    <w:p w14:paraId="50FA8053" w14:textId="77777777" w:rsidR="00F23D0F" w:rsidRPr="00F23D0F" w:rsidRDefault="00F23D0F" w:rsidP="00F23D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 xml:space="preserve">5.3 Scenario discovery: identifying the conditions for positive job creation </w:t>
      </w:r>
    </w:p>
    <w:p w14:paraId="3519D0D0" w14:textId="77777777" w:rsidR="00F23D0F" w:rsidRPr="00F23D0F" w:rsidRDefault="00F23D0F" w:rsidP="00F23D0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Cross-country patterns</w:t>
      </w:r>
    </w:p>
    <w:p w14:paraId="3A6C7B2D" w14:textId="77777777" w:rsidR="00F23D0F" w:rsidRPr="00F23D0F" w:rsidRDefault="00F23D0F" w:rsidP="00F23D0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Country-specific vulnerabilities and opportunities</w:t>
      </w:r>
    </w:p>
    <w:p w14:paraId="6EBE4F5A" w14:textId="77777777" w:rsidR="00F23D0F" w:rsidRPr="00F23D0F" w:rsidRDefault="00F23D0F" w:rsidP="00F23D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5.4 The role of learning curves and technology maturity</w:t>
      </w:r>
    </w:p>
    <w:p w14:paraId="15F72004" w14:textId="77777777" w:rsidR="00F23D0F" w:rsidRPr="00F23D0F" w:rsidRDefault="00F23D0F" w:rsidP="00F23D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D0F">
        <w:rPr>
          <w:rFonts w:ascii="Times New Roman" w:eastAsia="Times New Roman" w:hAnsi="Times New Roman" w:cs="Times New Roman"/>
          <w:b/>
          <w:bCs/>
          <w:kern w:val="0"/>
          <w:sz w:val="27"/>
          <w:szCs w:val="27"/>
          <w14:ligatures w14:val="none"/>
        </w:rPr>
        <w:t>6. Discussion</w:t>
      </w:r>
    </w:p>
    <w:p w14:paraId="4493F7B8" w14:textId="77777777" w:rsidR="00F23D0F" w:rsidRPr="00F23D0F" w:rsidRDefault="00F23D0F" w:rsidP="00F23D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6.1 Policy implications: what cost-structure levers can governments influence?</w:t>
      </w:r>
    </w:p>
    <w:p w14:paraId="7B932582" w14:textId="77777777" w:rsidR="00F23D0F" w:rsidRPr="00F23D0F" w:rsidRDefault="00F23D0F" w:rsidP="00F23D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6.2 Comparison with existing literature</w:t>
      </w:r>
    </w:p>
    <w:p w14:paraId="5712D9FF" w14:textId="77777777" w:rsidR="00F23D0F" w:rsidRPr="00F23D0F" w:rsidRDefault="00F23D0F" w:rsidP="00F23D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6.3 Limitations (I-O static assumptions, data quality, exclusion of job quality and distributional effects)</w:t>
      </w:r>
    </w:p>
    <w:p w14:paraId="0941E987" w14:textId="77777777" w:rsidR="00F23D0F" w:rsidRPr="00F23D0F" w:rsidRDefault="00F23D0F" w:rsidP="00F23D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6.4 Future research directions</w:t>
      </w:r>
    </w:p>
    <w:p w14:paraId="40A88402" w14:textId="77777777" w:rsidR="00F23D0F" w:rsidRPr="00F23D0F" w:rsidRDefault="00F23D0F" w:rsidP="00F23D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3D0F">
        <w:rPr>
          <w:rFonts w:ascii="Times New Roman" w:eastAsia="Times New Roman" w:hAnsi="Times New Roman" w:cs="Times New Roman"/>
          <w:b/>
          <w:bCs/>
          <w:kern w:val="0"/>
          <w:sz w:val="27"/>
          <w:szCs w:val="27"/>
          <w14:ligatures w14:val="none"/>
        </w:rPr>
        <w:t>7. Conclusions</w:t>
      </w:r>
    </w:p>
    <w:p w14:paraId="1BDD21C3"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lastRenderedPageBreak/>
        <w:t>Appendices:</w:t>
      </w:r>
      <w:r w:rsidRPr="00F23D0F">
        <w:rPr>
          <w:rFonts w:ascii="Times New Roman" w:eastAsia="Times New Roman" w:hAnsi="Times New Roman" w:cs="Times New Roman"/>
          <w:kern w:val="0"/>
          <w14:ligatures w14:val="none"/>
        </w:rPr>
        <w:t xml:space="preserve"> Technical details on SISEPUEDE transformations, MINDSET mapping, full experimental design parameters, country-level detailed results.</w:t>
      </w:r>
    </w:p>
    <w:p w14:paraId="0D64F1F0" w14:textId="77777777" w:rsidR="00F23D0F" w:rsidRPr="00F23D0F" w:rsidRDefault="00527728" w:rsidP="00F23D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AF7B99">
          <v:rect id="_x0000_i1027" alt="" style="width:468pt;height:.05pt;mso-width-percent:0;mso-height-percent:0;mso-width-percent:0;mso-height-percent:0" o:hralign="center" o:hrstd="t" o:hr="t" fillcolor="#a0a0a0" stroked="f"/>
        </w:pict>
      </w:r>
    </w:p>
    <w:p w14:paraId="74A22B39" w14:textId="77777777" w:rsidR="00F23D0F" w:rsidRPr="00F23D0F" w:rsidRDefault="00F23D0F" w:rsidP="00F23D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3D0F">
        <w:rPr>
          <w:rFonts w:ascii="Times New Roman" w:eastAsia="Times New Roman" w:hAnsi="Times New Roman" w:cs="Times New Roman"/>
          <w:b/>
          <w:bCs/>
          <w:kern w:val="0"/>
          <w:sz w:val="36"/>
          <w:szCs w:val="36"/>
          <w14:ligatures w14:val="none"/>
        </w:rPr>
        <w:t>4. Title Suggestions</w:t>
      </w:r>
    </w:p>
    <w:p w14:paraId="0C611BE7"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Titles that foreground the method and research question rather than the tools:</w:t>
      </w:r>
    </w:p>
    <w:p w14:paraId="04781981" w14:textId="77777777" w:rsidR="00F23D0F" w:rsidRPr="00F23D0F" w:rsidRDefault="00F23D0F" w:rsidP="00F23D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"When Do Climate Investments Create Jobs? Exploring Cost-Structure Conditions Across Country Contexts"</w:t>
      </w:r>
    </w:p>
    <w:p w14:paraId="0E772044" w14:textId="77777777" w:rsidR="00F23D0F" w:rsidRPr="00F23D0F" w:rsidRDefault="00F23D0F" w:rsidP="00F23D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"Cost-Structure Uncertainty and the Employment Effects of Decarbonization: An Exploratory Analysis Across Seven Countries"</w:t>
      </w:r>
    </w:p>
    <w:p w14:paraId="0B1D7F3D" w14:textId="77777777" w:rsidR="00F23D0F" w:rsidRPr="00F23D0F" w:rsidRDefault="00F23D0F" w:rsidP="00F23D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"Identifying the Conditions for Green Job Creation: A Scenario Discovery Approach to Climate Mitigation Investments"</w:t>
      </w:r>
    </w:p>
    <w:p w14:paraId="05A6F2EC" w14:textId="77777777" w:rsidR="00F23D0F" w:rsidRPr="00F23D0F" w:rsidRDefault="00F23D0F" w:rsidP="00F23D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"Under What Conditions Does Decarbonization Create Employment? An Exploratory Modeling Framework for Heterogeneous Economies"</w:t>
      </w:r>
    </w:p>
    <w:p w14:paraId="70C1FE34" w14:textId="77777777" w:rsidR="00F23D0F" w:rsidRPr="00F23D0F" w:rsidRDefault="00F23D0F" w:rsidP="00F23D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"Robust Green Employment? Exploring How Cost-Structure Assumptions Shape the Job Creation Potential of Climate Mitigation"</w:t>
      </w:r>
    </w:p>
    <w:p w14:paraId="5D42131D"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 xml:space="preserve">My recommendation: option </w:t>
      </w:r>
      <w:r w:rsidRPr="00F23D0F">
        <w:rPr>
          <w:rFonts w:ascii="Times New Roman" w:eastAsia="Times New Roman" w:hAnsi="Times New Roman" w:cs="Times New Roman"/>
          <w:b/>
          <w:bCs/>
          <w:kern w:val="0"/>
          <w14:ligatures w14:val="none"/>
        </w:rPr>
        <w:t>1</w:t>
      </w:r>
      <w:r w:rsidRPr="00F23D0F">
        <w:rPr>
          <w:rFonts w:ascii="Times New Roman" w:eastAsia="Times New Roman" w:hAnsi="Times New Roman" w:cs="Times New Roman"/>
          <w:kern w:val="0"/>
          <w14:ligatures w14:val="none"/>
        </w:rPr>
        <w:t xml:space="preserve"> or </w:t>
      </w:r>
      <w:r w:rsidRPr="00F23D0F">
        <w:rPr>
          <w:rFonts w:ascii="Times New Roman" w:eastAsia="Times New Roman" w:hAnsi="Times New Roman" w:cs="Times New Roman"/>
          <w:b/>
          <w:bCs/>
          <w:kern w:val="0"/>
          <w14:ligatures w14:val="none"/>
        </w:rPr>
        <w:t>3</w:t>
      </w:r>
      <w:r w:rsidRPr="00F23D0F">
        <w:rPr>
          <w:rFonts w:ascii="Times New Roman" w:eastAsia="Times New Roman" w:hAnsi="Times New Roman" w:cs="Times New Roman"/>
          <w:kern w:val="0"/>
          <w14:ligatures w14:val="none"/>
        </w:rPr>
        <w:t>. They're direct, question-driven, and signal the methodological novelty without being tool-centric.</w:t>
      </w:r>
    </w:p>
    <w:p w14:paraId="4AE433E6" w14:textId="77777777" w:rsidR="00F23D0F" w:rsidRPr="00F23D0F" w:rsidRDefault="00527728" w:rsidP="00F23D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861C6A">
          <v:rect id="_x0000_i1028" alt="" style="width:468pt;height:.05pt;mso-width-percent:0;mso-height-percent:0;mso-width-percent:0;mso-height-percent:0" o:hralign="center" o:hrstd="t" o:hr="t" fillcolor="#a0a0a0" stroked="f"/>
        </w:pict>
      </w:r>
    </w:p>
    <w:p w14:paraId="2FA7DBC4" w14:textId="77777777" w:rsidR="00F23D0F" w:rsidRPr="00F23D0F" w:rsidRDefault="00F23D0F" w:rsidP="00F23D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3D0F">
        <w:rPr>
          <w:rFonts w:ascii="Times New Roman" w:eastAsia="Times New Roman" w:hAnsi="Times New Roman" w:cs="Times New Roman"/>
          <w:b/>
          <w:bCs/>
          <w:kern w:val="0"/>
          <w:sz w:val="36"/>
          <w:szCs w:val="36"/>
          <w14:ligatures w14:val="none"/>
        </w:rPr>
        <w:t>5. Target Journals and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286"/>
        <w:gridCol w:w="1507"/>
        <w:gridCol w:w="4439"/>
      </w:tblGrid>
      <w:tr w:rsidR="00F23D0F" w:rsidRPr="00F23D0F" w14:paraId="324C192C" w14:textId="77777777">
        <w:trPr>
          <w:tblHeader/>
          <w:tblCellSpacing w:w="15" w:type="dxa"/>
        </w:trPr>
        <w:tc>
          <w:tcPr>
            <w:tcW w:w="0" w:type="auto"/>
            <w:vAlign w:val="center"/>
            <w:hideMark/>
          </w:tcPr>
          <w:p w14:paraId="55A6C68B" w14:textId="77777777" w:rsidR="00F23D0F" w:rsidRPr="00F23D0F" w:rsidRDefault="00F23D0F" w:rsidP="00F23D0F">
            <w:pPr>
              <w:spacing w:after="0" w:line="240" w:lineRule="auto"/>
              <w:jc w:val="center"/>
              <w:rPr>
                <w:rFonts w:ascii="Times New Roman" w:eastAsia="Times New Roman" w:hAnsi="Times New Roman" w:cs="Times New Roman"/>
                <w:b/>
                <w:bCs/>
                <w:kern w:val="0"/>
                <w14:ligatures w14:val="none"/>
              </w:rPr>
            </w:pPr>
            <w:r w:rsidRPr="00F23D0F">
              <w:rPr>
                <w:rFonts w:ascii="Times New Roman" w:eastAsia="Times New Roman" w:hAnsi="Times New Roman" w:cs="Times New Roman"/>
                <w:b/>
                <w:bCs/>
                <w:kern w:val="0"/>
                <w14:ligatures w14:val="none"/>
              </w:rPr>
              <w:t>Journal</w:t>
            </w:r>
          </w:p>
        </w:tc>
        <w:tc>
          <w:tcPr>
            <w:tcW w:w="0" w:type="auto"/>
            <w:vAlign w:val="center"/>
            <w:hideMark/>
          </w:tcPr>
          <w:p w14:paraId="7A1BA240" w14:textId="77777777" w:rsidR="00F23D0F" w:rsidRPr="00F23D0F" w:rsidRDefault="00F23D0F" w:rsidP="00F23D0F">
            <w:pPr>
              <w:spacing w:after="0" w:line="240" w:lineRule="auto"/>
              <w:jc w:val="center"/>
              <w:rPr>
                <w:rFonts w:ascii="Times New Roman" w:eastAsia="Times New Roman" w:hAnsi="Times New Roman" w:cs="Times New Roman"/>
                <w:b/>
                <w:bCs/>
                <w:kern w:val="0"/>
                <w14:ligatures w14:val="none"/>
              </w:rPr>
            </w:pPr>
            <w:r w:rsidRPr="00F23D0F">
              <w:rPr>
                <w:rFonts w:ascii="Times New Roman" w:eastAsia="Times New Roman" w:hAnsi="Times New Roman" w:cs="Times New Roman"/>
                <w:b/>
                <w:bCs/>
                <w:kern w:val="0"/>
                <w14:ligatures w14:val="none"/>
              </w:rPr>
              <w:t>Fit</w:t>
            </w:r>
          </w:p>
        </w:tc>
        <w:tc>
          <w:tcPr>
            <w:tcW w:w="0" w:type="auto"/>
            <w:vAlign w:val="center"/>
            <w:hideMark/>
          </w:tcPr>
          <w:p w14:paraId="112C76B3" w14:textId="77777777" w:rsidR="00F23D0F" w:rsidRPr="00F23D0F" w:rsidRDefault="00F23D0F" w:rsidP="00F23D0F">
            <w:pPr>
              <w:spacing w:after="0" w:line="240" w:lineRule="auto"/>
              <w:jc w:val="center"/>
              <w:rPr>
                <w:rFonts w:ascii="Times New Roman" w:eastAsia="Times New Roman" w:hAnsi="Times New Roman" w:cs="Times New Roman"/>
                <w:b/>
                <w:bCs/>
                <w:kern w:val="0"/>
                <w14:ligatures w14:val="none"/>
              </w:rPr>
            </w:pPr>
            <w:r w:rsidRPr="00F23D0F">
              <w:rPr>
                <w:rFonts w:ascii="Times New Roman" w:eastAsia="Times New Roman" w:hAnsi="Times New Roman" w:cs="Times New Roman"/>
                <w:b/>
                <w:bCs/>
                <w:kern w:val="0"/>
                <w14:ligatures w14:val="none"/>
              </w:rPr>
              <w:t>Probability of Acceptance</w:t>
            </w:r>
          </w:p>
        </w:tc>
        <w:tc>
          <w:tcPr>
            <w:tcW w:w="0" w:type="auto"/>
            <w:vAlign w:val="center"/>
            <w:hideMark/>
          </w:tcPr>
          <w:p w14:paraId="71D277D5" w14:textId="77777777" w:rsidR="00F23D0F" w:rsidRPr="00F23D0F" w:rsidRDefault="00F23D0F" w:rsidP="00F23D0F">
            <w:pPr>
              <w:spacing w:after="0" w:line="240" w:lineRule="auto"/>
              <w:jc w:val="center"/>
              <w:rPr>
                <w:rFonts w:ascii="Times New Roman" w:eastAsia="Times New Roman" w:hAnsi="Times New Roman" w:cs="Times New Roman"/>
                <w:b/>
                <w:bCs/>
                <w:kern w:val="0"/>
                <w14:ligatures w14:val="none"/>
              </w:rPr>
            </w:pPr>
            <w:r w:rsidRPr="00F23D0F">
              <w:rPr>
                <w:rFonts w:ascii="Times New Roman" w:eastAsia="Times New Roman" w:hAnsi="Times New Roman" w:cs="Times New Roman"/>
                <w:b/>
                <w:bCs/>
                <w:kern w:val="0"/>
                <w14:ligatures w14:val="none"/>
              </w:rPr>
              <w:t>Notes</w:t>
            </w:r>
          </w:p>
        </w:tc>
      </w:tr>
      <w:tr w:rsidR="00F23D0F" w:rsidRPr="00F23D0F" w14:paraId="48F650B1" w14:textId="77777777">
        <w:trPr>
          <w:tblCellSpacing w:w="15" w:type="dxa"/>
        </w:trPr>
        <w:tc>
          <w:tcPr>
            <w:tcW w:w="0" w:type="auto"/>
            <w:vAlign w:val="center"/>
            <w:hideMark/>
          </w:tcPr>
          <w:p w14:paraId="2C6E6AF4"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Nature Climate Change</w:t>
            </w:r>
          </w:p>
        </w:tc>
        <w:tc>
          <w:tcPr>
            <w:tcW w:w="0" w:type="auto"/>
            <w:vAlign w:val="center"/>
            <w:hideMark/>
          </w:tcPr>
          <w:p w14:paraId="2309CE6F"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Good if results are striking</w:t>
            </w:r>
          </w:p>
        </w:tc>
        <w:tc>
          <w:tcPr>
            <w:tcW w:w="0" w:type="auto"/>
            <w:vAlign w:val="center"/>
            <w:hideMark/>
          </w:tcPr>
          <w:p w14:paraId="4A415037"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10–15%</w:t>
            </w:r>
          </w:p>
        </w:tc>
        <w:tc>
          <w:tcPr>
            <w:tcW w:w="0" w:type="auto"/>
            <w:vAlign w:val="center"/>
            <w:hideMark/>
          </w:tcPr>
          <w:p w14:paraId="46AF2A4B"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High bar, but the multi-country scenario discovery angle is novel. Needs a very sharp "headline finding."</w:t>
            </w:r>
          </w:p>
        </w:tc>
      </w:tr>
      <w:tr w:rsidR="00F23D0F" w:rsidRPr="00F23D0F" w14:paraId="490F50DA" w14:textId="77777777">
        <w:trPr>
          <w:tblCellSpacing w:w="15" w:type="dxa"/>
        </w:trPr>
        <w:tc>
          <w:tcPr>
            <w:tcW w:w="0" w:type="auto"/>
            <w:vAlign w:val="center"/>
            <w:hideMark/>
          </w:tcPr>
          <w:p w14:paraId="2C828126"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Global Environmental Change</w:t>
            </w:r>
          </w:p>
        </w:tc>
        <w:tc>
          <w:tcPr>
            <w:tcW w:w="0" w:type="auto"/>
            <w:vAlign w:val="center"/>
            <w:hideMark/>
          </w:tcPr>
          <w:p w14:paraId="25A16965"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Excellent</w:t>
            </w:r>
          </w:p>
        </w:tc>
        <w:tc>
          <w:tcPr>
            <w:tcW w:w="0" w:type="auto"/>
            <w:vAlign w:val="center"/>
            <w:hideMark/>
          </w:tcPr>
          <w:p w14:paraId="3C551252"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25–35%</w:t>
            </w:r>
          </w:p>
        </w:tc>
        <w:tc>
          <w:tcPr>
            <w:tcW w:w="0" w:type="auto"/>
            <w:vAlign w:val="center"/>
            <w:hideMark/>
          </w:tcPr>
          <w:p w14:paraId="26ACAA55"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Strong fit for integrated assessment work with policy relevance. Regularly publishes I-O and employment studies. This is probably your best-fit top journal.</w:t>
            </w:r>
          </w:p>
        </w:tc>
      </w:tr>
      <w:tr w:rsidR="00F23D0F" w:rsidRPr="00F23D0F" w14:paraId="18D6C62D" w14:textId="77777777">
        <w:trPr>
          <w:tblCellSpacing w:w="15" w:type="dxa"/>
        </w:trPr>
        <w:tc>
          <w:tcPr>
            <w:tcW w:w="0" w:type="auto"/>
            <w:vAlign w:val="center"/>
            <w:hideMark/>
          </w:tcPr>
          <w:p w14:paraId="6B9D8A18"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Environmental Science &amp; Policy</w:t>
            </w:r>
          </w:p>
        </w:tc>
        <w:tc>
          <w:tcPr>
            <w:tcW w:w="0" w:type="auto"/>
            <w:vAlign w:val="center"/>
            <w:hideMark/>
          </w:tcPr>
          <w:p w14:paraId="15C79ED3"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Very good</w:t>
            </w:r>
          </w:p>
        </w:tc>
        <w:tc>
          <w:tcPr>
            <w:tcW w:w="0" w:type="auto"/>
            <w:vAlign w:val="center"/>
            <w:hideMark/>
          </w:tcPr>
          <w:p w14:paraId="2624D1E8"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30–40%</w:t>
            </w:r>
          </w:p>
        </w:tc>
        <w:tc>
          <w:tcPr>
            <w:tcW w:w="0" w:type="auto"/>
            <w:vAlign w:val="center"/>
            <w:hideMark/>
          </w:tcPr>
          <w:p w14:paraId="6D956F2B"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Welcomes methodological contributions with clear policy implications. Slightly lower impact but high acceptance probability.</w:t>
            </w:r>
          </w:p>
        </w:tc>
      </w:tr>
      <w:tr w:rsidR="00F23D0F" w:rsidRPr="00F23D0F" w14:paraId="10692454" w14:textId="77777777">
        <w:trPr>
          <w:tblCellSpacing w:w="15" w:type="dxa"/>
        </w:trPr>
        <w:tc>
          <w:tcPr>
            <w:tcW w:w="0" w:type="auto"/>
            <w:vAlign w:val="center"/>
            <w:hideMark/>
          </w:tcPr>
          <w:p w14:paraId="027D6213"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Climate Policy</w:t>
            </w:r>
          </w:p>
        </w:tc>
        <w:tc>
          <w:tcPr>
            <w:tcW w:w="0" w:type="auto"/>
            <w:vAlign w:val="center"/>
            <w:hideMark/>
          </w:tcPr>
          <w:p w14:paraId="1F282F72"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Very good</w:t>
            </w:r>
          </w:p>
        </w:tc>
        <w:tc>
          <w:tcPr>
            <w:tcW w:w="0" w:type="auto"/>
            <w:vAlign w:val="center"/>
            <w:hideMark/>
          </w:tcPr>
          <w:p w14:paraId="63B0F943"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30–40%</w:t>
            </w:r>
          </w:p>
        </w:tc>
        <w:tc>
          <w:tcPr>
            <w:tcW w:w="0" w:type="auto"/>
            <w:vAlign w:val="center"/>
            <w:hideMark/>
          </w:tcPr>
          <w:p w14:paraId="17576FCF"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Directly relevant audience. Publishes work on employment and just transition regularly.</w:t>
            </w:r>
          </w:p>
        </w:tc>
      </w:tr>
      <w:tr w:rsidR="00F23D0F" w:rsidRPr="00F23D0F" w14:paraId="1B30CC63" w14:textId="77777777">
        <w:trPr>
          <w:tblCellSpacing w:w="15" w:type="dxa"/>
        </w:trPr>
        <w:tc>
          <w:tcPr>
            <w:tcW w:w="0" w:type="auto"/>
            <w:vAlign w:val="center"/>
            <w:hideMark/>
          </w:tcPr>
          <w:p w14:paraId="2CA372F9"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Energy Policy</w:t>
            </w:r>
          </w:p>
        </w:tc>
        <w:tc>
          <w:tcPr>
            <w:tcW w:w="0" w:type="auto"/>
            <w:vAlign w:val="center"/>
            <w:hideMark/>
          </w:tcPr>
          <w:p w14:paraId="157E86BD"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Good</w:t>
            </w:r>
          </w:p>
        </w:tc>
        <w:tc>
          <w:tcPr>
            <w:tcW w:w="0" w:type="auto"/>
            <w:vAlign w:val="center"/>
            <w:hideMark/>
          </w:tcPr>
          <w:p w14:paraId="3203B0B1"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25–35%</w:t>
            </w:r>
          </w:p>
        </w:tc>
        <w:tc>
          <w:tcPr>
            <w:tcW w:w="0" w:type="auto"/>
            <w:vAlign w:val="center"/>
            <w:hideMark/>
          </w:tcPr>
          <w:p w14:paraId="529E3A56"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Large readership, publishes employment/green jobs work frequently. Competitive but realistic.</w:t>
            </w:r>
          </w:p>
        </w:tc>
      </w:tr>
      <w:tr w:rsidR="00F23D0F" w:rsidRPr="00F23D0F" w14:paraId="4883AED0" w14:textId="77777777">
        <w:trPr>
          <w:tblCellSpacing w:w="15" w:type="dxa"/>
        </w:trPr>
        <w:tc>
          <w:tcPr>
            <w:tcW w:w="0" w:type="auto"/>
            <w:vAlign w:val="center"/>
            <w:hideMark/>
          </w:tcPr>
          <w:p w14:paraId="3A1DAEF5"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lastRenderedPageBreak/>
              <w:t>Ecological Economics</w:t>
            </w:r>
          </w:p>
        </w:tc>
        <w:tc>
          <w:tcPr>
            <w:tcW w:w="0" w:type="auto"/>
            <w:vAlign w:val="center"/>
            <w:hideMark/>
          </w:tcPr>
          <w:p w14:paraId="1FCDC14D"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Good</w:t>
            </w:r>
          </w:p>
        </w:tc>
        <w:tc>
          <w:tcPr>
            <w:tcW w:w="0" w:type="auto"/>
            <w:vAlign w:val="center"/>
            <w:hideMark/>
          </w:tcPr>
          <w:p w14:paraId="337D67B6"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20–30%</w:t>
            </w:r>
          </w:p>
        </w:tc>
        <w:tc>
          <w:tcPr>
            <w:tcW w:w="0" w:type="auto"/>
            <w:vAlign w:val="center"/>
            <w:hideMark/>
          </w:tcPr>
          <w:p w14:paraId="6D00888E"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Fits the I-O tradition well; appreciates methodological innovation. May want more on distributional/equity dimensions.</w:t>
            </w:r>
          </w:p>
        </w:tc>
      </w:tr>
      <w:tr w:rsidR="00F23D0F" w:rsidRPr="00F23D0F" w14:paraId="4C7B8519" w14:textId="77777777">
        <w:trPr>
          <w:tblCellSpacing w:w="15" w:type="dxa"/>
        </w:trPr>
        <w:tc>
          <w:tcPr>
            <w:tcW w:w="0" w:type="auto"/>
            <w:vAlign w:val="center"/>
            <w:hideMark/>
          </w:tcPr>
          <w:p w14:paraId="7ED64BBB"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Frontiers in Climate</w:t>
            </w:r>
            <w:r w:rsidRPr="00F23D0F">
              <w:rPr>
                <w:rFonts w:ascii="Times New Roman" w:eastAsia="Times New Roman" w:hAnsi="Times New Roman" w:cs="Times New Roman"/>
                <w:kern w:val="0"/>
                <w14:ligatures w14:val="none"/>
              </w:rPr>
              <w:t xml:space="preserve"> (your previous venue)</w:t>
            </w:r>
          </w:p>
        </w:tc>
        <w:tc>
          <w:tcPr>
            <w:tcW w:w="0" w:type="auto"/>
            <w:vAlign w:val="center"/>
            <w:hideMark/>
          </w:tcPr>
          <w:p w14:paraId="7E2453E5"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Very good</w:t>
            </w:r>
          </w:p>
        </w:tc>
        <w:tc>
          <w:tcPr>
            <w:tcW w:w="0" w:type="auto"/>
            <w:vAlign w:val="center"/>
            <w:hideMark/>
          </w:tcPr>
          <w:p w14:paraId="52B367E9"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40–50%</w:t>
            </w:r>
          </w:p>
        </w:tc>
        <w:tc>
          <w:tcPr>
            <w:tcW w:w="0" w:type="auto"/>
            <w:vAlign w:val="center"/>
            <w:hideMark/>
          </w:tcPr>
          <w:p w14:paraId="47A628E4"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Already published there; reviewers know the predecessor paper. But if you want to signal that this is a step up in ambition, aim higher first.</w:t>
            </w:r>
          </w:p>
        </w:tc>
      </w:tr>
      <w:tr w:rsidR="00F23D0F" w:rsidRPr="00F23D0F" w14:paraId="5DEC5DC3" w14:textId="77777777">
        <w:trPr>
          <w:tblCellSpacing w:w="15" w:type="dxa"/>
        </w:trPr>
        <w:tc>
          <w:tcPr>
            <w:tcW w:w="0" w:type="auto"/>
            <w:vAlign w:val="center"/>
            <w:hideMark/>
          </w:tcPr>
          <w:p w14:paraId="39ADFADB"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World Development</w:t>
            </w:r>
          </w:p>
        </w:tc>
        <w:tc>
          <w:tcPr>
            <w:tcW w:w="0" w:type="auto"/>
            <w:vAlign w:val="center"/>
            <w:hideMark/>
          </w:tcPr>
          <w:p w14:paraId="627D772D"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Moderate</w:t>
            </w:r>
          </w:p>
        </w:tc>
        <w:tc>
          <w:tcPr>
            <w:tcW w:w="0" w:type="auto"/>
            <w:vAlign w:val="center"/>
            <w:hideMark/>
          </w:tcPr>
          <w:p w14:paraId="0251EE77"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15–20%</w:t>
            </w:r>
          </w:p>
        </w:tc>
        <w:tc>
          <w:tcPr>
            <w:tcW w:w="0" w:type="auto"/>
            <w:vAlign w:val="center"/>
            <w:hideMark/>
          </w:tcPr>
          <w:p w14:paraId="1C35FB0A" w14:textId="77777777" w:rsidR="00F23D0F" w:rsidRPr="00F23D0F" w:rsidRDefault="00F23D0F" w:rsidP="00F23D0F">
            <w:pPr>
              <w:spacing w:after="0"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kern w:val="0"/>
                <w14:ligatures w14:val="none"/>
              </w:rPr>
              <w:t>If you lean heavily into the development-country heterogeneity angle. Would need to downplay the technical modeling.</w:t>
            </w:r>
          </w:p>
        </w:tc>
      </w:tr>
    </w:tbl>
    <w:p w14:paraId="4FD5FC59" w14:textId="77777777" w:rsidR="00F23D0F" w:rsidRPr="00F23D0F" w:rsidRDefault="00F23D0F" w:rsidP="00F23D0F">
      <w:pPr>
        <w:spacing w:before="100" w:beforeAutospacing="1" w:after="100" w:afterAutospacing="1" w:line="240" w:lineRule="auto"/>
        <w:rPr>
          <w:rFonts w:ascii="Times New Roman" w:eastAsia="Times New Roman" w:hAnsi="Times New Roman" w:cs="Times New Roman"/>
          <w:kern w:val="0"/>
          <w14:ligatures w14:val="none"/>
        </w:rPr>
      </w:pPr>
      <w:r w:rsidRPr="00F23D0F">
        <w:rPr>
          <w:rFonts w:ascii="Times New Roman" w:eastAsia="Times New Roman" w:hAnsi="Times New Roman" w:cs="Times New Roman"/>
          <w:b/>
          <w:bCs/>
          <w:kern w:val="0"/>
          <w14:ligatures w14:val="none"/>
        </w:rPr>
        <w:t>My recommended strategy:</w:t>
      </w:r>
      <w:r w:rsidRPr="00F23D0F">
        <w:rPr>
          <w:rFonts w:ascii="Times New Roman" w:eastAsia="Times New Roman" w:hAnsi="Times New Roman" w:cs="Times New Roman"/>
          <w:kern w:val="0"/>
          <w14:ligatures w14:val="none"/>
        </w:rPr>
        <w:t xml:space="preserve"> Submit first to </w:t>
      </w:r>
      <w:r w:rsidRPr="00F23D0F">
        <w:rPr>
          <w:rFonts w:ascii="Times New Roman" w:eastAsia="Times New Roman" w:hAnsi="Times New Roman" w:cs="Times New Roman"/>
          <w:b/>
          <w:bCs/>
          <w:kern w:val="0"/>
          <w14:ligatures w14:val="none"/>
        </w:rPr>
        <w:t>Global Environmental Change</w:t>
      </w:r>
      <w:r w:rsidRPr="00F23D0F">
        <w:rPr>
          <w:rFonts w:ascii="Times New Roman" w:eastAsia="Times New Roman" w:hAnsi="Times New Roman" w:cs="Times New Roman"/>
          <w:kern w:val="0"/>
          <w14:ligatures w14:val="none"/>
        </w:rPr>
        <w:t xml:space="preserve"> or </w:t>
      </w:r>
      <w:r w:rsidRPr="00F23D0F">
        <w:rPr>
          <w:rFonts w:ascii="Times New Roman" w:eastAsia="Times New Roman" w:hAnsi="Times New Roman" w:cs="Times New Roman"/>
          <w:b/>
          <w:bCs/>
          <w:kern w:val="0"/>
          <w14:ligatures w14:val="none"/>
        </w:rPr>
        <w:t>Climate Policy</w:t>
      </w:r>
      <w:r w:rsidRPr="00F23D0F">
        <w:rPr>
          <w:rFonts w:ascii="Times New Roman" w:eastAsia="Times New Roman" w:hAnsi="Times New Roman" w:cs="Times New Roman"/>
          <w:kern w:val="0"/>
          <w14:ligatures w14:val="none"/>
        </w:rPr>
        <w:t xml:space="preserve">. If rejected, pivot to </w:t>
      </w:r>
      <w:r w:rsidRPr="00F23D0F">
        <w:rPr>
          <w:rFonts w:ascii="Times New Roman" w:eastAsia="Times New Roman" w:hAnsi="Times New Roman" w:cs="Times New Roman"/>
          <w:b/>
          <w:bCs/>
          <w:kern w:val="0"/>
          <w14:ligatures w14:val="none"/>
        </w:rPr>
        <w:t>Energy Policy</w:t>
      </w:r>
      <w:r w:rsidRPr="00F23D0F">
        <w:rPr>
          <w:rFonts w:ascii="Times New Roman" w:eastAsia="Times New Roman" w:hAnsi="Times New Roman" w:cs="Times New Roman"/>
          <w:kern w:val="0"/>
          <w14:ligatures w14:val="none"/>
        </w:rPr>
        <w:t xml:space="preserve"> or </w:t>
      </w:r>
      <w:r w:rsidRPr="00F23D0F">
        <w:rPr>
          <w:rFonts w:ascii="Times New Roman" w:eastAsia="Times New Roman" w:hAnsi="Times New Roman" w:cs="Times New Roman"/>
          <w:b/>
          <w:bCs/>
          <w:kern w:val="0"/>
          <w14:ligatures w14:val="none"/>
        </w:rPr>
        <w:t>Environmental Science &amp; Policy</w:t>
      </w:r>
      <w:r w:rsidRPr="00F23D0F">
        <w:rPr>
          <w:rFonts w:ascii="Times New Roman" w:eastAsia="Times New Roman" w:hAnsi="Times New Roman" w:cs="Times New Roman"/>
          <w:kern w:val="0"/>
          <w14:ligatures w14:val="none"/>
        </w:rPr>
        <w:t>. These give you the best combination of audience fit, methodological openness, and realistic acceptance odds.</w:t>
      </w:r>
    </w:p>
    <w:p w14:paraId="30025BF7" w14:textId="5AD41929" w:rsidR="00F23D0F" w:rsidRDefault="00F23D0F" w:rsidP="00F23D0F">
      <w:r>
        <w:t xml:space="preserve"> </w:t>
      </w:r>
      <w:r w:rsidR="0041444E">
        <w:t>++++</w:t>
      </w:r>
    </w:p>
    <w:p w14:paraId="4EE6E2AB"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Structure</w:t>
      </w:r>
    </w:p>
    <w:p w14:paraId="0A92A1FA" w14:textId="77777777" w:rsidR="0041444E" w:rsidRPr="0041444E" w:rsidRDefault="0041444E" w:rsidP="0041444E">
      <w:p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Abstract</w:t>
      </w:r>
    </w:p>
    <w:p w14:paraId="365CAC3E"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1. Introduction</w:t>
      </w:r>
    </w:p>
    <w:p w14:paraId="1C4897C0" w14:textId="77777777" w:rsidR="0041444E" w:rsidRPr="0041444E" w:rsidRDefault="0041444E" w:rsidP="004144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policy tension: countries need both decarbonization and employment growth, but evidence on when these goals align is fragile and context-dependent</w:t>
      </w:r>
    </w:p>
    <w:p w14:paraId="27F25055" w14:textId="77777777" w:rsidR="0041444E" w:rsidRPr="0041444E" w:rsidRDefault="0041444E" w:rsidP="004144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problem with current evidence: static multipliers, aggregate scenarios, no traceability from specific actions to employment, no systematic uncertainty exploration</w:t>
      </w:r>
    </w:p>
    <w:p w14:paraId="16008D78" w14:textId="77777777" w:rsidR="0041444E" w:rsidRPr="0041444E" w:rsidRDefault="0041444E" w:rsidP="004144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Research question: Under what cost-structure conditions do climate mitigation investments generate positive job demand, and how do these conditions vary across country contexts?</w:t>
      </w:r>
    </w:p>
    <w:p w14:paraId="2E3FFE1A" w14:textId="77777777" w:rsidR="0041444E" w:rsidRPr="0041444E" w:rsidRDefault="0041444E" w:rsidP="004144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Brief preview: an end-to-end framework applied across seven World Bank CCDR engagements, using scenario discovery to identify the structural conditions that determine employment outcomes</w:t>
      </w:r>
    </w:p>
    <w:p w14:paraId="6803E630" w14:textId="77777777" w:rsidR="0041444E" w:rsidRPr="0041444E" w:rsidRDefault="0041444E" w:rsidP="004144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Paper roadmap</w:t>
      </w:r>
    </w:p>
    <w:p w14:paraId="78A2A8DC"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2. Literature and Positioning</w:t>
      </w:r>
    </w:p>
    <w:p w14:paraId="1334EF91" w14:textId="77777777" w:rsidR="0041444E" w:rsidRPr="0041444E" w:rsidRDefault="0041444E" w:rsidP="004144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2.1 Employment effects of climate mitigation: what we know </w:t>
      </w:r>
    </w:p>
    <w:p w14:paraId="70D759E0" w14:textId="77777777" w:rsidR="0041444E" w:rsidRPr="0041444E" w:rsidRDefault="0041444E" w:rsidP="004144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I-O tradition (Garrett-Peltier, Bivens, your previous paper)</w:t>
      </w:r>
    </w:p>
    <w:p w14:paraId="109FDC2A" w14:textId="77777777" w:rsidR="0041444E" w:rsidRPr="0041444E" w:rsidRDefault="0041444E" w:rsidP="004144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CGE tradition (E3ME, ILO models, OECD ENV-Linkages)</w:t>
      </w:r>
    </w:p>
    <w:p w14:paraId="5FCDFF6A" w14:textId="77777777" w:rsidR="0041444E" w:rsidRPr="0041444E" w:rsidRDefault="0041444E" w:rsidP="004144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Sector-specific studies (IRENA, IEA employment estimates)</w:t>
      </w:r>
    </w:p>
    <w:p w14:paraId="7CCC5C45" w14:textId="77777777" w:rsidR="0041444E" w:rsidRPr="0041444E" w:rsidRDefault="0041444E" w:rsidP="004144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LAC and developing-country evidence (Saget et al., Pollin, IDB-DDPLAC)</w:t>
      </w:r>
    </w:p>
    <w:p w14:paraId="46FCD04E" w14:textId="77777777" w:rsidR="0041444E" w:rsidRPr="0041444E" w:rsidRDefault="0041444E" w:rsidP="004144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2.2 What's missing: the three gaps </w:t>
      </w:r>
    </w:p>
    <w:p w14:paraId="6BD0294F" w14:textId="77777777" w:rsidR="0041444E" w:rsidRPr="0041444E" w:rsidRDefault="0041444E" w:rsidP="004144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lastRenderedPageBreak/>
        <w:t>Gap 1: No transformation-level traceability.</w:t>
      </w:r>
      <w:r w:rsidRPr="0041444E">
        <w:rPr>
          <w:rFonts w:ascii="Times New Roman" w:eastAsia="Times New Roman" w:hAnsi="Times New Roman" w:cs="Times New Roman"/>
          <w:kern w:val="0"/>
          <w14:ligatures w14:val="none"/>
        </w:rPr>
        <w:t xml:space="preserve"> Existing work connects sectors or broad scenarios to employment, but not specific mitigation actions at specific intensities</w:t>
      </w:r>
    </w:p>
    <w:p w14:paraId="2BCDA7E6" w14:textId="77777777" w:rsidR="0041444E" w:rsidRPr="0041444E" w:rsidRDefault="0041444E" w:rsidP="004144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Gap 2: Cost structures treated as fixed.</w:t>
      </w:r>
      <w:r w:rsidRPr="0041444E">
        <w:rPr>
          <w:rFonts w:ascii="Times New Roman" w:eastAsia="Times New Roman" w:hAnsi="Times New Roman" w:cs="Times New Roman"/>
          <w:kern w:val="0"/>
          <w14:ligatures w14:val="none"/>
        </w:rPr>
        <w:t xml:space="preserve"> Nobody systematically explores how capital intensity, import dependence, learning dynamics, and technology costs shape employment outcomes</w:t>
      </w:r>
    </w:p>
    <w:p w14:paraId="0BAEE120" w14:textId="77777777" w:rsidR="0041444E" w:rsidRPr="0041444E" w:rsidRDefault="0041444E" w:rsidP="004144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Gap 3: No conditional findings.</w:t>
      </w:r>
      <w:r w:rsidRPr="0041444E">
        <w:rPr>
          <w:rFonts w:ascii="Times New Roman" w:eastAsia="Times New Roman" w:hAnsi="Times New Roman" w:cs="Times New Roman"/>
          <w:kern w:val="0"/>
          <w14:ligatures w14:val="none"/>
        </w:rPr>
        <w:t xml:space="preserve"> The literature reports point estimates rather than identifying the </w:t>
      </w:r>
      <w:r w:rsidRPr="0041444E">
        <w:rPr>
          <w:rFonts w:ascii="Times New Roman" w:eastAsia="Times New Roman" w:hAnsi="Times New Roman" w:cs="Times New Roman"/>
          <w:i/>
          <w:iCs/>
          <w:kern w:val="0"/>
          <w14:ligatures w14:val="none"/>
        </w:rPr>
        <w:t>conditions</w:t>
      </w:r>
      <w:r w:rsidRPr="0041444E">
        <w:rPr>
          <w:rFonts w:ascii="Times New Roman" w:eastAsia="Times New Roman" w:hAnsi="Times New Roman" w:cs="Times New Roman"/>
          <w:kern w:val="0"/>
          <w14:ligatures w14:val="none"/>
        </w:rPr>
        <w:t xml:space="preserve"> under which employment co-benefits hold or break down</w:t>
      </w:r>
    </w:p>
    <w:p w14:paraId="4EFF2F70" w14:textId="77777777" w:rsidR="0041444E" w:rsidRPr="0041444E" w:rsidRDefault="0041444E" w:rsidP="004144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2.3 Decision Making Under Deep Uncertainty and scenario discovery as tools for closing these gaps (brief, methodological motivation only — not a full DMDU review)</w:t>
      </w:r>
    </w:p>
    <w:p w14:paraId="2ECBB8F9"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3. The Analytical Framework</w:t>
      </w:r>
    </w:p>
    <w:p w14:paraId="588407C4" w14:textId="77777777" w:rsidR="0041444E" w:rsidRPr="0041444E" w:rsidRDefault="0041444E" w:rsidP="004144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3.1 Overview and pipeline architecture </w:t>
      </w:r>
    </w:p>
    <w:p w14:paraId="5C2AC5D7"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A single figure showing the full end-to-end workflow: Transformations → Emissions pathways → Cost structures (with learning curves) → I-O mapping → Employment estimation → Exploratory analysis → Scenario discovery</w:t>
      </w:r>
    </w:p>
    <w:p w14:paraId="6FF4A890"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Emphasize the traceability: every employment result can be traced back to a specific transformation at a specific intensity under specific cost-structure assumptions</w:t>
      </w:r>
    </w:p>
    <w:p w14:paraId="17F385E4" w14:textId="77777777" w:rsidR="0041444E" w:rsidRPr="0041444E" w:rsidRDefault="0041444E" w:rsidP="004144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3.2 Emissions pathway construction (SISEPUEDE) </w:t>
      </w:r>
    </w:p>
    <w:p w14:paraId="74642CC1"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What it does, what transformations it covers, how intensity levels are defined</w:t>
      </w:r>
    </w:p>
    <w:p w14:paraId="4215D968"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Framed as the first module in the pipeline, not as the paper's contribution</w:t>
      </w:r>
    </w:p>
    <w:p w14:paraId="5B4236D5" w14:textId="77777777" w:rsidR="0041444E" w:rsidRPr="0041444E" w:rsidRDefault="0041444E" w:rsidP="004144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3.3 Cost estimation and learning curve extension </w:t>
      </w:r>
    </w:p>
    <w:p w14:paraId="163E713B"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cost-benefit module and how marginal capital requirements are estimated</w:t>
      </w:r>
    </w:p>
    <w:p w14:paraId="748AB4D4"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learning curve extension: why it matters (cost structures evolve with deployment), how it's implemented, what parameters it introduces</w:t>
      </w:r>
    </w:p>
    <w:p w14:paraId="08482566"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This is where you explain that the </w:t>
      </w:r>
      <w:r w:rsidRPr="0041444E">
        <w:rPr>
          <w:rFonts w:ascii="Times New Roman" w:eastAsia="Times New Roman" w:hAnsi="Times New Roman" w:cs="Times New Roman"/>
          <w:i/>
          <w:iCs/>
          <w:kern w:val="0"/>
          <w14:ligatures w14:val="none"/>
        </w:rPr>
        <w:t>same</w:t>
      </w:r>
      <w:r w:rsidRPr="0041444E">
        <w:rPr>
          <w:rFonts w:ascii="Times New Roman" w:eastAsia="Times New Roman" w:hAnsi="Times New Roman" w:cs="Times New Roman"/>
          <w:kern w:val="0"/>
          <w14:ligatures w14:val="none"/>
        </w:rPr>
        <w:t xml:space="preserve"> transformation at different penetration levels produces </w:t>
      </w:r>
      <w:r w:rsidRPr="0041444E">
        <w:rPr>
          <w:rFonts w:ascii="Times New Roman" w:eastAsia="Times New Roman" w:hAnsi="Times New Roman" w:cs="Times New Roman"/>
          <w:i/>
          <w:iCs/>
          <w:kern w:val="0"/>
          <w14:ligatures w14:val="none"/>
        </w:rPr>
        <w:t>different</w:t>
      </w:r>
      <w:r w:rsidRPr="0041444E">
        <w:rPr>
          <w:rFonts w:ascii="Times New Roman" w:eastAsia="Times New Roman" w:hAnsi="Times New Roman" w:cs="Times New Roman"/>
          <w:kern w:val="0"/>
          <w14:ligatures w14:val="none"/>
        </w:rPr>
        <w:t xml:space="preserve"> cost structures — a key insight</w:t>
      </w:r>
    </w:p>
    <w:p w14:paraId="52CF819C" w14:textId="77777777" w:rsidR="0041444E" w:rsidRPr="0041444E" w:rsidRDefault="0041444E" w:rsidP="004144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3.4 Cost-structure translation to input-output analysis (MINDSET) </w:t>
      </w:r>
    </w:p>
    <w:p w14:paraId="7DAC296A"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How investment requirements are decomposed into demand vectors</w:t>
      </w:r>
    </w:p>
    <w:p w14:paraId="50BDCF5A"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mapping from transformation cost structures to I-O sectors</w:t>
      </w:r>
    </w:p>
    <w:p w14:paraId="1CC895AD"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Framed as the bridge module, not as the contribution</w:t>
      </w:r>
    </w:p>
    <w:p w14:paraId="5622C97D" w14:textId="77777777" w:rsidR="0041444E" w:rsidRPr="0041444E" w:rsidRDefault="0041444E" w:rsidP="004144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3.5 Employment estimation </w:t>
      </w:r>
    </w:p>
    <w:p w14:paraId="0F98B0BB"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Direct and indirect employment through the I-O framework</w:t>
      </w:r>
    </w:p>
    <w:p w14:paraId="6FC0B41F"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Key mechanisms: labor intensity, wage levels, import rates (building on your previous paper's framing)</w:t>
      </w:r>
    </w:p>
    <w:p w14:paraId="4ECB0052" w14:textId="77777777" w:rsidR="0041444E" w:rsidRPr="0041444E" w:rsidRDefault="0041444E" w:rsidP="004144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3.6 Experimental design </w:t>
      </w:r>
    </w:p>
    <w:p w14:paraId="5CD83BC1"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uncertainty dimensions being explored: capital vs. labor intensity, domestic vs. imported inputs, technology unit costs, learning rates, deployment levels</w:t>
      </w:r>
    </w:p>
    <w:p w14:paraId="6E793F84"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Sampling strategy and number of experiments</w:t>
      </w:r>
    </w:p>
    <w:p w14:paraId="3C869414"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Justification of parameter ranges from the literature</w:t>
      </w:r>
    </w:p>
    <w:p w14:paraId="11EB971D" w14:textId="77777777" w:rsidR="0041444E" w:rsidRPr="0041444E" w:rsidRDefault="0041444E" w:rsidP="004144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3.7 Scenario discovery </w:t>
      </w:r>
    </w:p>
    <w:p w14:paraId="1610F0D4"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Methods used (PRIM, classification trees, or both — specify)</w:t>
      </w:r>
    </w:p>
    <w:p w14:paraId="22F3BED2"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lastRenderedPageBreak/>
        <w:t>What you're classifying: cases where employment outcomes are positive vs. negative, or above/below policy-relevant thresholds</w:t>
      </w:r>
    </w:p>
    <w:p w14:paraId="7BEC54E7" w14:textId="77777777" w:rsidR="0041444E" w:rsidRPr="0041444E" w:rsidRDefault="0041444E" w:rsidP="0041444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How cross-country comparison is structured</w:t>
      </w:r>
    </w:p>
    <w:p w14:paraId="34822139"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4. Country Cases: Seven World Bank CCDR Applications</w:t>
      </w:r>
    </w:p>
    <w:p w14:paraId="7F41528F" w14:textId="77777777" w:rsidR="0041444E" w:rsidRPr="0041444E" w:rsidRDefault="0041444E" w:rsidP="0041444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4.1 The CCDR context and why this matters </w:t>
      </w:r>
    </w:p>
    <w:p w14:paraId="08092366" w14:textId="77777777" w:rsidR="0041444E" w:rsidRPr="0041444E" w:rsidRDefault="0041444E" w:rsidP="0041444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Brief explanation of CCDRs and their policy role</w:t>
      </w:r>
    </w:p>
    <w:p w14:paraId="619FC5A9" w14:textId="77777777" w:rsidR="0041444E" w:rsidRPr="0041444E" w:rsidRDefault="0041444E" w:rsidP="0041444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framework was deployed to inform real policy decisions — not a hypothetical exercise</w:t>
      </w:r>
    </w:p>
    <w:p w14:paraId="496EDAC8" w14:textId="77777777" w:rsidR="0041444E" w:rsidRPr="0041444E" w:rsidRDefault="0041444E" w:rsidP="0041444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country set reflects operational demand and provides deliberate heterogeneity</w:t>
      </w:r>
    </w:p>
    <w:p w14:paraId="3CCC0432" w14:textId="77777777" w:rsidR="0041444E" w:rsidRPr="0041444E" w:rsidRDefault="0041444E" w:rsidP="0041444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4.2 Country profiles (a structured comparison table) </w:t>
      </w:r>
    </w:p>
    <w:p w14:paraId="79C9CE53" w14:textId="77777777" w:rsidR="0041444E" w:rsidRPr="0041444E" w:rsidRDefault="0041444E" w:rsidP="0041444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For each country: income level, GDP structure, energy mix, labor market characteristics, key emitting sectors, dominant transformations assessed</w:t>
      </w:r>
    </w:p>
    <w:p w14:paraId="4DFD3007" w14:textId="77777777" w:rsidR="0041444E" w:rsidRPr="0041444E" w:rsidRDefault="0041444E" w:rsidP="0041444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point is to show that the seven cases span meaningful variation in the dimensions that the framework explores</w:t>
      </w:r>
    </w:p>
    <w:p w14:paraId="05284959" w14:textId="77777777" w:rsidR="0041444E" w:rsidRPr="0041444E" w:rsidRDefault="0041444E" w:rsidP="0041444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4.3 Data sources and calibration </w:t>
      </w:r>
    </w:p>
    <w:p w14:paraId="759295C6" w14:textId="77777777" w:rsidR="0041444E" w:rsidRPr="0041444E" w:rsidRDefault="0041444E" w:rsidP="0041444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I-O data, wage data, cost data, learning curve parameters</w:t>
      </w:r>
    </w:p>
    <w:p w14:paraId="1388C0D9" w14:textId="77777777" w:rsidR="0041444E" w:rsidRPr="0041444E" w:rsidRDefault="0041444E" w:rsidP="0041444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Transparency on data limitations by country</w:t>
      </w:r>
    </w:p>
    <w:p w14:paraId="005AF850"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5. Results</w:t>
      </w:r>
    </w:p>
    <w:p w14:paraId="3CF4C05F" w14:textId="77777777" w:rsidR="0041444E" w:rsidRPr="0041444E" w:rsidRDefault="0041444E" w:rsidP="004144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5.1 Transformation-level employment estimates </w:t>
      </w:r>
    </w:p>
    <w:p w14:paraId="1484D5E8"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What does the pipeline produce? Show results for selected transformations across countries</w:t>
      </w:r>
    </w:p>
    <w:p w14:paraId="470EDB87"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Demonstrate the traceability: from action → cost structure → employment</w:t>
      </w:r>
    </w:p>
    <w:p w14:paraId="2008B75E"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Highlight how the same transformation yields different employment outcomes across countries</w:t>
      </w:r>
    </w:p>
    <w:p w14:paraId="096F4527" w14:textId="77777777" w:rsidR="0041444E" w:rsidRPr="0041444E" w:rsidRDefault="0041444E" w:rsidP="004144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5.2 The role of cost-structure assumptions </w:t>
      </w:r>
    </w:p>
    <w:p w14:paraId="0CBC9EE5"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How do employment outcomes change when cost-structure parameters vary?</w:t>
      </w:r>
    </w:p>
    <w:p w14:paraId="3B2873BC"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Which parameters matter most? (preview of scenario discovery findings)</w:t>
      </w:r>
    </w:p>
    <w:p w14:paraId="19ECC426"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learning curve effect: how employment multipliers shift with deployment intensity</w:t>
      </w:r>
    </w:p>
    <w:p w14:paraId="2B2D98E8" w14:textId="77777777" w:rsidR="0041444E" w:rsidRPr="0041444E" w:rsidRDefault="0041444E" w:rsidP="004144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5.3 Scenario discovery: conditions for positive job creation </w:t>
      </w:r>
    </w:p>
    <w:p w14:paraId="0F4FD17A"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Cross-country patterns:</w:t>
      </w:r>
      <w:r w:rsidRPr="0041444E">
        <w:rPr>
          <w:rFonts w:ascii="Times New Roman" w:eastAsia="Times New Roman" w:hAnsi="Times New Roman" w:cs="Times New Roman"/>
          <w:kern w:val="0"/>
          <w14:ligatures w14:val="none"/>
        </w:rPr>
        <w:t xml:space="preserve"> Are there universal conditions (e.g., import share thresholds, minimum labor intensity) that predict positive employment outcomes regardless of country?</w:t>
      </w:r>
    </w:p>
    <w:p w14:paraId="0423FCF5"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Country-specific findings:</w:t>
      </w:r>
      <w:r w:rsidRPr="0041444E">
        <w:rPr>
          <w:rFonts w:ascii="Times New Roman" w:eastAsia="Times New Roman" w:hAnsi="Times New Roman" w:cs="Times New Roman"/>
          <w:kern w:val="0"/>
          <w14:ligatures w14:val="none"/>
        </w:rPr>
        <w:t xml:space="preserve"> For each country or country cluster, what are the binding conditions? Which cost-structure assumptions most determine whether climate investments create or fail to create jobs?</w:t>
      </w:r>
    </w:p>
    <w:p w14:paraId="73ABE8FD"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Transformation-specific findings:</w:t>
      </w:r>
      <w:r w:rsidRPr="0041444E">
        <w:rPr>
          <w:rFonts w:ascii="Times New Roman" w:eastAsia="Times New Roman" w:hAnsi="Times New Roman" w:cs="Times New Roman"/>
          <w:kern w:val="0"/>
          <w14:ligatures w14:val="none"/>
        </w:rPr>
        <w:t xml:space="preserve"> Do certain categories of transformations (e.g., buildings vs. energy vs. industry) have systematically different vulnerability profiles?</w:t>
      </w:r>
    </w:p>
    <w:p w14:paraId="251635A3"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Present using scenario discovery visualizations (PRIM peeling trajectories, decision trees, density plots by scenario class)</w:t>
      </w:r>
    </w:p>
    <w:p w14:paraId="60146E21" w14:textId="77777777" w:rsidR="0041444E" w:rsidRPr="0041444E" w:rsidRDefault="0041444E" w:rsidP="004144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5.4 Policy-relevant typology </w:t>
      </w:r>
    </w:p>
    <w:p w14:paraId="0AD1BF82"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lastRenderedPageBreak/>
        <w:t>Synthesize findings into a typology: under what combinations of country structure and cost-structure assumptions are employment co-benefits robust, fragile, or unlikely?</w:t>
      </w:r>
    </w:p>
    <w:p w14:paraId="2BAC97B3" w14:textId="77777777" w:rsidR="0041444E" w:rsidRPr="0041444E" w:rsidRDefault="0041444E" w:rsidP="0041444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This is the paper's headline deliverable</w:t>
      </w:r>
    </w:p>
    <w:p w14:paraId="17446DB8"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6. Discussion</w:t>
      </w:r>
    </w:p>
    <w:p w14:paraId="3731EE75" w14:textId="77777777" w:rsidR="0041444E" w:rsidRPr="0041444E" w:rsidRDefault="0041444E" w:rsidP="004144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6.1 What cost-structure levers can governments actually influence? </w:t>
      </w:r>
    </w:p>
    <w:p w14:paraId="1195C457"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Import substitution policies, industrial policy for domestic manufacturing, workforce training, procurement standards</w:t>
      </w:r>
    </w:p>
    <w:p w14:paraId="3999FC2C"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Connect scenario discovery findings to actionable policy</w:t>
      </w:r>
    </w:p>
    <w:p w14:paraId="636BF129" w14:textId="77777777" w:rsidR="0041444E" w:rsidRPr="0041444E" w:rsidRDefault="0041444E" w:rsidP="004144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6.2 Implications for CCDR design and climate strategy </w:t>
      </w:r>
    </w:p>
    <w:p w14:paraId="3F0F8F2E"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How should these findings change the way employment co-benefits are assessed in country climate plans?</w:t>
      </w:r>
    </w:p>
    <w:p w14:paraId="52F4B705"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case for moving beyond point estimates toward conditional analysis</w:t>
      </w:r>
    </w:p>
    <w:p w14:paraId="111E1675" w14:textId="77777777" w:rsidR="0041444E" w:rsidRPr="0041444E" w:rsidRDefault="0041444E" w:rsidP="004144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6.3 Relationship to prior literature </w:t>
      </w:r>
    </w:p>
    <w:p w14:paraId="4A503F99"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How do the findings compare to existing employment estimates for these sectors/countries?</w:t>
      </w:r>
    </w:p>
    <w:p w14:paraId="03A4BA29"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Where does the framework confirm conventional wisdom, and where does it challenge it?</w:t>
      </w:r>
    </w:p>
    <w:p w14:paraId="618667BF" w14:textId="77777777" w:rsidR="0041444E" w:rsidRPr="0041444E" w:rsidRDefault="0041444E" w:rsidP="004144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6.4 Limitations </w:t>
      </w:r>
    </w:p>
    <w:p w14:paraId="7C46F4B5"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Static I-O assumptions (but: the RDM framing treats this as explored uncertainty rather than ignored limitation)</w:t>
      </w:r>
    </w:p>
    <w:p w14:paraId="4926BA4A"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Data quality variation across countries</w:t>
      </w:r>
    </w:p>
    <w:p w14:paraId="6DC5905B"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Exclusions: job quality, distributional effects, transition costs for displaced workers, operations and maintenance employment</w:t>
      </w:r>
    </w:p>
    <w:p w14:paraId="4F3FED57" w14:textId="77777777" w:rsidR="0041444E" w:rsidRPr="0041444E" w:rsidRDefault="0041444E" w:rsidP="0041444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Learning curve parameterization uncertainties</w:t>
      </w:r>
    </w:p>
    <w:p w14:paraId="62810D3A" w14:textId="77777777" w:rsidR="0041444E" w:rsidRPr="0041444E" w:rsidRDefault="0041444E" w:rsidP="004144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44E">
        <w:rPr>
          <w:rFonts w:ascii="Times New Roman" w:eastAsia="Times New Roman" w:hAnsi="Times New Roman" w:cs="Times New Roman"/>
          <w:b/>
          <w:bCs/>
          <w:kern w:val="0"/>
          <w:sz w:val="27"/>
          <w:szCs w:val="27"/>
          <w14:ligatures w14:val="none"/>
        </w:rPr>
        <w:t>7. Conclusions</w:t>
      </w:r>
    </w:p>
    <w:p w14:paraId="0BE5561F" w14:textId="77777777" w:rsidR="0041444E" w:rsidRPr="0041444E" w:rsidRDefault="0041444E" w:rsidP="004144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Restate the three contributions: pipeline, scenario discovery findings, demonstrated applicability across seven real engagements</w:t>
      </w:r>
    </w:p>
    <w:p w14:paraId="782593E3" w14:textId="77777777" w:rsidR="0041444E" w:rsidRPr="0041444E" w:rsidRDefault="0041444E" w:rsidP="004144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core message: employment co-benefits of climate investment are real but conditional, and the conditions are identifiable and policy-relevant</w:t>
      </w:r>
    </w:p>
    <w:p w14:paraId="54A7673F" w14:textId="77777777" w:rsidR="0041444E" w:rsidRPr="0041444E" w:rsidRDefault="0041444E" w:rsidP="004144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Future directions: extending to job quality, dynamic modeling, integration with just transition frameworks</w:t>
      </w:r>
    </w:p>
    <w:p w14:paraId="3530B86D" w14:textId="77777777" w:rsidR="0041444E" w:rsidRPr="0041444E" w:rsidRDefault="0041444E" w:rsidP="0041444E">
      <w:p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Appendices / Supplementary Material</w:t>
      </w:r>
    </w:p>
    <w:p w14:paraId="291FED97" w14:textId="77777777" w:rsidR="0041444E" w:rsidRPr="0041444E" w:rsidRDefault="0041444E" w:rsidP="004144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Full transformation list with cost-structure weights</w:t>
      </w:r>
    </w:p>
    <w:p w14:paraId="48EA71FA" w14:textId="77777777" w:rsidR="0041444E" w:rsidRPr="0041444E" w:rsidRDefault="0041444E" w:rsidP="004144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Complete experimental design parameters and ranges</w:t>
      </w:r>
    </w:p>
    <w:p w14:paraId="65235F88" w14:textId="77777777" w:rsidR="0041444E" w:rsidRPr="0041444E" w:rsidRDefault="0041444E" w:rsidP="004144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Country-level detailed results</w:t>
      </w:r>
    </w:p>
    <w:p w14:paraId="1914CAD6" w14:textId="77777777" w:rsidR="0041444E" w:rsidRPr="0041444E" w:rsidRDefault="0041444E" w:rsidP="004144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Technical documentation of SISEPUEDE-MINDSET integration</w:t>
      </w:r>
    </w:p>
    <w:p w14:paraId="4DB632D5" w14:textId="77777777" w:rsidR="0041444E" w:rsidRPr="0041444E" w:rsidRDefault="0041444E" w:rsidP="004144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Scenario discovery technical details (PRIM parameters, tree specifications)</w:t>
      </w:r>
    </w:p>
    <w:p w14:paraId="61C8ECF8" w14:textId="77777777" w:rsidR="0041444E" w:rsidRPr="0041444E" w:rsidRDefault="00527728" w:rsidP="004144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72F1E5">
          <v:rect id="_x0000_i1029" alt="" style="width:468pt;height:.05pt;mso-width-percent:0;mso-height-percent:0;mso-width-percent:0;mso-height-percent:0" o:hralign="center" o:hrstd="t" o:hr="t" fillcolor="#a0a0a0" stroked="f"/>
        </w:pict>
      </w:r>
    </w:p>
    <w:p w14:paraId="7437CCE4" w14:textId="77777777" w:rsidR="0041444E" w:rsidRPr="0041444E" w:rsidRDefault="0041444E" w:rsidP="004144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444E">
        <w:rPr>
          <w:rFonts w:ascii="Times New Roman" w:eastAsia="Times New Roman" w:hAnsi="Times New Roman" w:cs="Times New Roman"/>
          <w:b/>
          <w:bCs/>
          <w:kern w:val="0"/>
          <w:sz w:val="36"/>
          <w:szCs w:val="36"/>
          <w14:ligatures w14:val="none"/>
        </w:rPr>
        <w:lastRenderedPageBreak/>
        <w:t>Updated Journal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980"/>
        <w:gridCol w:w="1221"/>
        <w:gridCol w:w="5332"/>
      </w:tblGrid>
      <w:tr w:rsidR="0041444E" w:rsidRPr="0041444E" w14:paraId="79C5B048" w14:textId="77777777">
        <w:trPr>
          <w:tblHeader/>
          <w:tblCellSpacing w:w="15" w:type="dxa"/>
        </w:trPr>
        <w:tc>
          <w:tcPr>
            <w:tcW w:w="0" w:type="auto"/>
            <w:vAlign w:val="center"/>
            <w:hideMark/>
          </w:tcPr>
          <w:p w14:paraId="1BBC4F20" w14:textId="77777777" w:rsidR="0041444E" w:rsidRPr="0041444E" w:rsidRDefault="0041444E" w:rsidP="0041444E">
            <w:pPr>
              <w:spacing w:after="0" w:line="240" w:lineRule="auto"/>
              <w:jc w:val="center"/>
              <w:rPr>
                <w:rFonts w:ascii="Times New Roman" w:eastAsia="Times New Roman" w:hAnsi="Times New Roman" w:cs="Times New Roman"/>
                <w:b/>
                <w:bCs/>
                <w:kern w:val="0"/>
                <w14:ligatures w14:val="none"/>
              </w:rPr>
            </w:pPr>
            <w:r w:rsidRPr="0041444E">
              <w:rPr>
                <w:rFonts w:ascii="Times New Roman" w:eastAsia="Times New Roman" w:hAnsi="Times New Roman" w:cs="Times New Roman"/>
                <w:b/>
                <w:bCs/>
                <w:kern w:val="0"/>
                <w14:ligatures w14:val="none"/>
              </w:rPr>
              <w:t>Journal</w:t>
            </w:r>
          </w:p>
        </w:tc>
        <w:tc>
          <w:tcPr>
            <w:tcW w:w="0" w:type="auto"/>
            <w:vAlign w:val="center"/>
            <w:hideMark/>
          </w:tcPr>
          <w:p w14:paraId="223441B0" w14:textId="77777777" w:rsidR="0041444E" w:rsidRPr="0041444E" w:rsidRDefault="0041444E" w:rsidP="0041444E">
            <w:pPr>
              <w:spacing w:after="0" w:line="240" w:lineRule="auto"/>
              <w:jc w:val="center"/>
              <w:rPr>
                <w:rFonts w:ascii="Times New Roman" w:eastAsia="Times New Roman" w:hAnsi="Times New Roman" w:cs="Times New Roman"/>
                <w:b/>
                <w:bCs/>
                <w:kern w:val="0"/>
                <w14:ligatures w14:val="none"/>
              </w:rPr>
            </w:pPr>
            <w:r w:rsidRPr="0041444E">
              <w:rPr>
                <w:rFonts w:ascii="Times New Roman" w:eastAsia="Times New Roman" w:hAnsi="Times New Roman" w:cs="Times New Roman"/>
                <w:b/>
                <w:bCs/>
                <w:kern w:val="0"/>
                <w14:ligatures w14:val="none"/>
              </w:rPr>
              <w:t>Fit</w:t>
            </w:r>
          </w:p>
        </w:tc>
        <w:tc>
          <w:tcPr>
            <w:tcW w:w="0" w:type="auto"/>
            <w:vAlign w:val="center"/>
            <w:hideMark/>
          </w:tcPr>
          <w:p w14:paraId="49C8C638" w14:textId="77777777" w:rsidR="0041444E" w:rsidRPr="0041444E" w:rsidRDefault="0041444E" w:rsidP="0041444E">
            <w:pPr>
              <w:spacing w:after="0" w:line="240" w:lineRule="auto"/>
              <w:jc w:val="center"/>
              <w:rPr>
                <w:rFonts w:ascii="Times New Roman" w:eastAsia="Times New Roman" w:hAnsi="Times New Roman" w:cs="Times New Roman"/>
                <w:b/>
                <w:bCs/>
                <w:kern w:val="0"/>
                <w14:ligatures w14:val="none"/>
              </w:rPr>
            </w:pPr>
            <w:r w:rsidRPr="0041444E">
              <w:rPr>
                <w:rFonts w:ascii="Times New Roman" w:eastAsia="Times New Roman" w:hAnsi="Times New Roman" w:cs="Times New Roman"/>
                <w:b/>
                <w:bCs/>
                <w:kern w:val="0"/>
                <w14:ligatures w14:val="none"/>
              </w:rPr>
              <w:t>Probability</w:t>
            </w:r>
          </w:p>
        </w:tc>
        <w:tc>
          <w:tcPr>
            <w:tcW w:w="0" w:type="auto"/>
            <w:vAlign w:val="center"/>
            <w:hideMark/>
          </w:tcPr>
          <w:p w14:paraId="36691E8C" w14:textId="77777777" w:rsidR="0041444E" w:rsidRPr="0041444E" w:rsidRDefault="0041444E" w:rsidP="0041444E">
            <w:pPr>
              <w:spacing w:after="0" w:line="240" w:lineRule="auto"/>
              <w:jc w:val="center"/>
              <w:rPr>
                <w:rFonts w:ascii="Times New Roman" w:eastAsia="Times New Roman" w:hAnsi="Times New Roman" w:cs="Times New Roman"/>
                <w:b/>
                <w:bCs/>
                <w:kern w:val="0"/>
                <w14:ligatures w14:val="none"/>
              </w:rPr>
            </w:pPr>
            <w:r w:rsidRPr="0041444E">
              <w:rPr>
                <w:rFonts w:ascii="Times New Roman" w:eastAsia="Times New Roman" w:hAnsi="Times New Roman" w:cs="Times New Roman"/>
                <w:b/>
                <w:bCs/>
                <w:kern w:val="0"/>
                <w14:ligatures w14:val="none"/>
              </w:rPr>
              <w:t>Rationale</w:t>
            </w:r>
          </w:p>
        </w:tc>
      </w:tr>
      <w:tr w:rsidR="0041444E" w:rsidRPr="0041444E" w14:paraId="5AF53CED" w14:textId="77777777">
        <w:trPr>
          <w:tblCellSpacing w:w="15" w:type="dxa"/>
        </w:trPr>
        <w:tc>
          <w:tcPr>
            <w:tcW w:w="0" w:type="auto"/>
            <w:vAlign w:val="center"/>
            <w:hideMark/>
          </w:tcPr>
          <w:p w14:paraId="3008A8AD"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Nature Climate Change</w:t>
            </w:r>
          </w:p>
        </w:tc>
        <w:tc>
          <w:tcPr>
            <w:tcW w:w="0" w:type="auto"/>
            <w:vAlign w:val="center"/>
            <w:hideMark/>
          </w:tcPr>
          <w:p w14:paraId="573BCBB0"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Strong</w:t>
            </w:r>
          </w:p>
        </w:tc>
        <w:tc>
          <w:tcPr>
            <w:tcW w:w="0" w:type="auto"/>
            <w:vAlign w:val="center"/>
            <w:hideMark/>
          </w:tcPr>
          <w:p w14:paraId="2C020CC9"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15–20%</w:t>
            </w:r>
          </w:p>
        </w:tc>
        <w:tc>
          <w:tcPr>
            <w:tcW w:w="0" w:type="auto"/>
            <w:vAlign w:val="center"/>
            <w:hideMark/>
          </w:tcPr>
          <w:p w14:paraId="65B1396F"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pipeline novelty is genuine, the CCDR grounding gives policy credibility, and the question "when do climate investments create jobs?" is high-relevance. You'd need a very sharp 4-page main text with striking headline findings. The multi-country scenario discovery visualizations could be compelling. Worth a shot as first submission.</w:t>
            </w:r>
          </w:p>
        </w:tc>
      </w:tr>
      <w:tr w:rsidR="0041444E" w:rsidRPr="0041444E" w14:paraId="1DB85933" w14:textId="77777777">
        <w:trPr>
          <w:tblCellSpacing w:w="15" w:type="dxa"/>
        </w:trPr>
        <w:tc>
          <w:tcPr>
            <w:tcW w:w="0" w:type="auto"/>
            <w:vAlign w:val="center"/>
            <w:hideMark/>
          </w:tcPr>
          <w:p w14:paraId="0D2F35A1"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Global Environmental Change</w:t>
            </w:r>
          </w:p>
        </w:tc>
        <w:tc>
          <w:tcPr>
            <w:tcW w:w="0" w:type="auto"/>
            <w:vAlign w:val="center"/>
            <w:hideMark/>
          </w:tcPr>
          <w:p w14:paraId="672919AF"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Excellent</w:t>
            </w:r>
          </w:p>
        </w:tc>
        <w:tc>
          <w:tcPr>
            <w:tcW w:w="0" w:type="auto"/>
            <w:vAlign w:val="center"/>
            <w:hideMark/>
          </w:tcPr>
          <w:p w14:paraId="2ECB3142"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30–40%</w:t>
            </w:r>
          </w:p>
        </w:tc>
        <w:tc>
          <w:tcPr>
            <w:tcW w:w="0" w:type="auto"/>
            <w:vAlign w:val="center"/>
            <w:hideMark/>
          </w:tcPr>
          <w:p w14:paraId="442D6CEB"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This remains your best-fit top journal. Regularly publishes integrated assessment work with policy applications. The combination of methodological novelty, multi-country evidence, and real-world policy grounding is exactly what they value. The CCDR connection strengthens this significantly. </w:t>
            </w:r>
            <w:r w:rsidRPr="0041444E">
              <w:rPr>
                <w:rFonts w:ascii="Times New Roman" w:eastAsia="Times New Roman" w:hAnsi="Times New Roman" w:cs="Times New Roman"/>
                <w:b/>
                <w:bCs/>
                <w:kern w:val="0"/>
                <w14:ligatures w14:val="none"/>
              </w:rPr>
              <w:t>My top recommendation.</w:t>
            </w:r>
          </w:p>
        </w:tc>
      </w:tr>
      <w:tr w:rsidR="0041444E" w:rsidRPr="0041444E" w14:paraId="2A4CE907" w14:textId="77777777">
        <w:trPr>
          <w:tblCellSpacing w:w="15" w:type="dxa"/>
        </w:trPr>
        <w:tc>
          <w:tcPr>
            <w:tcW w:w="0" w:type="auto"/>
            <w:vAlign w:val="center"/>
            <w:hideMark/>
          </w:tcPr>
          <w:p w14:paraId="4442CD99"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Nature Sustainability</w:t>
            </w:r>
          </w:p>
        </w:tc>
        <w:tc>
          <w:tcPr>
            <w:tcW w:w="0" w:type="auto"/>
            <w:vAlign w:val="center"/>
            <w:hideMark/>
          </w:tcPr>
          <w:p w14:paraId="51D638C7"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Good</w:t>
            </w:r>
          </w:p>
        </w:tc>
        <w:tc>
          <w:tcPr>
            <w:tcW w:w="0" w:type="auto"/>
            <w:vAlign w:val="center"/>
            <w:hideMark/>
          </w:tcPr>
          <w:p w14:paraId="224D0E19"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12–18%</w:t>
            </w:r>
          </w:p>
        </w:tc>
        <w:tc>
          <w:tcPr>
            <w:tcW w:w="0" w:type="auto"/>
            <w:vAlign w:val="center"/>
            <w:hideMark/>
          </w:tcPr>
          <w:p w14:paraId="0122ACD4"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If you emphasize the development dimension — that employment is a sustainability co-benefit and the conditions for achieving it vary with development level. The seven-country spread from Uganda to Bulgaria supports this framing.</w:t>
            </w:r>
          </w:p>
        </w:tc>
      </w:tr>
      <w:tr w:rsidR="0041444E" w:rsidRPr="0041444E" w14:paraId="62122509" w14:textId="77777777">
        <w:trPr>
          <w:tblCellSpacing w:w="15" w:type="dxa"/>
        </w:trPr>
        <w:tc>
          <w:tcPr>
            <w:tcW w:w="0" w:type="auto"/>
            <w:vAlign w:val="center"/>
            <w:hideMark/>
          </w:tcPr>
          <w:p w14:paraId="63948B3B"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Climate Policy</w:t>
            </w:r>
          </w:p>
        </w:tc>
        <w:tc>
          <w:tcPr>
            <w:tcW w:w="0" w:type="auto"/>
            <w:vAlign w:val="center"/>
            <w:hideMark/>
          </w:tcPr>
          <w:p w14:paraId="54AE4C08"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Very good</w:t>
            </w:r>
          </w:p>
        </w:tc>
        <w:tc>
          <w:tcPr>
            <w:tcW w:w="0" w:type="auto"/>
            <w:vAlign w:val="center"/>
            <w:hideMark/>
          </w:tcPr>
          <w:p w14:paraId="3DA7BF39"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35–45%</w:t>
            </w:r>
          </w:p>
        </w:tc>
        <w:tc>
          <w:tcPr>
            <w:tcW w:w="0" w:type="auto"/>
            <w:vAlign w:val="center"/>
            <w:hideMark/>
          </w:tcPr>
          <w:p w14:paraId="675FD242"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Direct audience match. The scenario discovery approach applied to employment is novel for this journal. The CCDR connection makes it immediately policy-relevant. High probability, good impact.</w:t>
            </w:r>
          </w:p>
        </w:tc>
      </w:tr>
      <w:tr w:rsidR="0041444E" w:rsidRPr="0041444E" w14:paraId="00E904E6" w14:textId="77777777">
        <w:trPr>
          <w:tblCellSpacing w:w="15" w:type="dxa"/>
        </w:trPr>
        <w:tc>
          <w:tcPr>
            <w:tcW w:w="0" w:type="auto"/>
            <w:vAlign w:val="center"/>
            <w:hideMark/>
          </w:tcPr>
          <w:p w14:paraId="6D23BC28"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Energy Policy</w:t>
            </w:r>
          </w:p>
        </w:tc>
        <w:tc>
          <w:tcPr>
            <w:tcW w:w="0" w:type="auto"/>
            <w:vAlign w:val="center"/>
            <w:hideMark/>
          </w:tcPr>
          <w:p w14:paraId="0EF64E55"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Good</w:t>
            </w:r>
          </w:p>
        </w:tc>
        <w:tc>
          <w:tcPr>
            <w:tcW w:w="0" w:type="auto"/>
            <w:vAlign w:val="center"/>
            <w:hideMark/>
          </w:tcPr>
          <w:p w14:paraId="1A27D9D7"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30–40%</w:t>
            </w:r>
          </w:p>
        </w:tc>
        <w:tc>
          <w:tcPr>
            <w:tcW w:w="0" w:type="auto"/>
            <w:vAlign w:val="center"/>
            <w:hideMark/>
          </w:tcPr>
          <w:p w14:paraId="05DCC11C"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Strong venue if you emphasize the energy transformation results. Large readership. The learning curve extension fits well here.</w:t>
            </w:r>
          </w:p>
        </w:tc>
      </w:tr>
      <w:tr w:rsidR="0041444E" w:rsidRPr="0041444E" w14:paraId="610F1607" w14:textId="77777777">
        <w:trPr>
          <w:tblCellSpacing w:w="15" w:type="dxa"/>
        </w:trPr>
        <w:tc>
          <w:tcPr>
            <w:tcW w:w="0" w:type="auto"/>
            <w:vAlign w:val="center"/>
            <w:hideMark/>
          </w:tcPr>
          <w:p w14:paraId="066DA81A"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Environmental Science &amp; Policy</w:t>
            </w:r>
          </w:p>
        </w:tc>
        <w:tc>
          <w:tcPr>
            <w:tcW w:w="0" w:type="auto"/>
            <w:vAlign w:val="center"/>
            <w:hideMark/>
          </w:tcPr>
          <w:p w14:paraId="37D697EF"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Very good</w:t>
            </w:r>
          </w:p>
        </w:tc>
        <w:tc>
          <w:tcPr>
            <w:tcW w:w="0" w:type="auto"/>
            <w:vAlign w:val="center"/>
            <w:hideMark/>
          </w:tcPr>
          <w:p w14:paraId="3E8F6A6D"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35–45%</w:t>
            </w:r>
          </w:p>
        </w:tc>
        <w:tc>
          <w:tcPr>
            <w:tcW w:w="0" w:type="auto"/>
            <w:vAlign w:val="center"/>
            <w:hideMark/>
          </w:tcPr>
          <w:p w14:paraId="1EF2BB7B"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Welcomes exactly this kind of methods-with-application work. The CCDR grounding adds weight. Realistic and well-suited.</w:t>
            </w:r>
          </w:p>
        </w:tc>
      </w:tr>
      <w:tr w:rsidR="0041444E" w:rsidRPr="0041444E" w14:paraId="3DBDF0E1" w14:textId="77777777">
        <w:trPr>
          <w:tblCellSpacing w:w="15" w:type="dxa"/>
        </w:trPr>
        <w:tc>
          <w:tcPr>
            <w:tcW w:w="0" w:type="auto"/>
            <w:vAlign w:val="center"/>
            <w:hideMark/>
          </w:tcPr>
          <w:p w14:paraId="1ACCFB2A"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World Development</w:t>
            </w:r>
          </w:p>
        </w:tc>
        <w:tc>
          <w:tcPr>
            <w:tcW w:w="0" w:type="auto"/>
            <w:vAlign w:val="center"/>
            <w:hideMark/>
          </w:tcPr>
          <w:p w14:paraId="44CC2DF5"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Good</w:t>
            </w:r>
          </w:p>
        </w:tc>
        <w:tc>
          <w:tcPr>
            <w:tcW w:w="0" w:type="auto"/>
            <w:vAlign w:val="center"/>
            <w:hideMark/>
          </w:tcPr>
          <w:p w14:paraId="680BF694"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20–25%</w:t>
            </w:r>
          </w:p>
        </w:tc>
        <w:tc>
          <w:tcPr>
            <w:tcW w:w="0" w:type="auto"/>
            <w:vAlign w:val="center"/>
            <w:hideMark/>
          </w:tcPr>
          <w:p w14:paraId="2DFF7F28"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Improved fit now that you have Uganda, Egypt, Morocco alongside middle-income cases. If you frame around "under what structural economic conditions do developing countries capture employment benefits from climate investment," this becomes a development paper with climate content.</w:t>
            </w:r>
          </w:p>
        </w:tc>
      </w:tr>
      <w:tr w:rsidR="0041444E" w:rsidRPr="0041444E" w14:paraId="6C7CD90D" w14:textId="77777777">
        <w:trPr>
          <w:tblCellSpacing w:w="15" w:type="dxa"/>
        </w:trPr>
        <w:tc>
          <w:tcPr>
            <w:tcW w:w="0" w:type="auto"/>
            <w:vAlign w:val="center"/>
            <w:hideMark/>
          </w:tcPr>
          <w:p w14:paraId="3ACECF4A"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Ecological Economics</w:t>
            </w:r>
          </w:p>
        </w:tc>
        <w:tc>
          <w:tcPr>
            <w:tcW w:w="0" w:type="auto"/>
            <w:vAlign w:val="center"/>
            <w:hideMark/>
          </w:tcPr>
          <w:p w14:paraId="2AF324C6"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Good</w:t>
            </w:r>
          </w:p>
        </w:tc>
        <w:tc>
          <w:tcPr>
            <w:tcW w:w="0" w:type="auto"/>
            <w:vAlign w:val="center"/>
            <w:hideMark/>
          </w:tcPr>
          <w:p w14:paraId="4CD68011"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25–30%</w:t>
            </w:r>
          </w:p>
        </w:tc>
        <w:tc>
          <w:tcPr>
            <w:tcW w:w="0" w:type="auto"/>
            <w:vAlign w:val="center"/>
            <w:hideMark/>
          </w:tcPr>
          <w:p w14:paraId="5BFBF898"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The I-O tradition is well-represented here. Would appreciate the methodological contribution. May want more on equity dimensions.</w:t>
            </w:r>
          </w:p>
        </w:tc>
      </w:tr>
      <w:tr w:rsidR="0041444E" w:rsidRPr="0041444E" w14:paraId="41CA3525" w14:textId="77777777">
        <w:trPr>
          <w:tblCellSpacing w:w="15" w:type="dxa"/>
        </w:trPr>
        <w:tc>
          <w:tcPr>
            <w:tcW w:w="0" w:type="auto"/>
            <w:vAlign w:val="center"/>
            <w:hideMark/>
          </w:tcPr>
          <w:p w14:paraId="0C9FAEE7"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Frontiers in Climate</w:t>
            </w:r>
          </w:p>
        </w:tc>
        <w:tc>
          <w:tcPr>
            <w:tcW w:w="0" w:type="auto"/>
            <w:vAlign w:val="center"/>
            <w:hideMark/>
          </w:tcPr>
          <w:p w14:paraId="65058C0A"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Very good</w:t>
            </w:r>
          </w:p>
        </w:tc>
        <w:tc>
          <w:tcPr>
            <w:tcW w:w="0" w:type="auto"/>
            <w:vAlign w:val="center"/>
            <w:hideMark/>
          </w:tcPr>
          <w:p w14:paraId="20DA3759"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45–55%</w:t>
            </w:r>
          </w:p>
        </w:tc>
        <w:tc>
          <w:tcPr>
            <w:tcW w:w="0" w:type="auto"/>
            <w:vAlign w:val="center"/>
            <w:hideMark/>
          </w:tcPr>
          <w:p w14:paraId="6E8A1165" w14:textId="77777777" w:rsidR="0041444E" w:rsidRPr="0041444E" w:rsidRDefault="0041444E" w:rsidP="0041444E">
            <w:pPr>
              <w:spacing w:after="0"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Safe option. You've published there, the predecessor paper is there, and this is clearly a major step forward. </w:t>
            </w:r>
            <w:r w:rsidRPr="0041444E">
              <w:rPr>
                <w:rFonts w:ascii="Times New Roman" w:eastAsia="Times New Roman" w:hAnsi="Times New Roman" w:cs="Times New Roman"/>
                <w:kern w:val="0"/>
                <w14:ligatures w14:val="none"/>
              </w:rPr>
              <w:lastRenderedPageBreak/>
              <w:t>But given the stronger positioning now, I'd aim higher first.</w:t>
            </w:r>
          </w:p>
        </w:tc>
      </w:tr>
    </w:tbl>
    <w:p w14:paraId="0565A409" w14:textId="77777777" w:rsidR="0041444E" w:rsidRPr="0041444E" w:rsidRDefault="00527728" w:rsidP="004144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9D23EB7">
          <v:rect id="_x0000_i1030" alt="" style="width:468pt;height:.05pt;mso-width-percent:0;mso-height-percent:0;mso-width-percent:0;mso-height-percent:0" o:hralign="center" o:hrstd="t" o:hr="t" fillcolor="#a0a0a0" stroked="f"/>
        </w:pict>
      </w:r>
    </w:p>
    <w:p w14:paraId="2752ADB6" w14:textId="77777777" w:rsidR="0041444E" w:rsidRPr="0041444E" w:rsidRDefault="0041444E" w:rsidP="004144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444E">
        <w:rPr>
          <w:rFonts w:ascii="Times New Roman" w:eastAsia="Times New Roman" w:hAnsi="Times New Roman" w:cs="Times New Roman"/>
          <w:b/>
          <w:bCs/>
          <w:kern w:val="0"/>
          <w:sz w:val="36"/>
          <w:szCs w:val="36"/>
          <w14:ligatures w14:val="none"/>
        </w:rPr>
        <w:t>Recommended Submission Strategy</w:t>
      </w:r>
    </w:p>
    <w:p w14:paraId="29DEDAB0" w14:textId="77777777" w:rsidR="0041444E" w:rsidRPr="0041444E" w:rsidRDefault="0041444E" w:rsidP="0041444E">
      <w:p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Round 1:</w:t>
      </w:r>
      <w:r w:rsidRPr="0041444E">
        <w:rPr>
          <w:rFonts w:ascii="Times New Roman" w:eastAsia="Times New Roman" w:hAnsi="Times New Roman" w:cs="Times New Roman"/>
          <w:kern w:val="0"/>
          <w14:ligatures w14:val="none"/>
        </w:rPr>
        <w:t xml:space="preserve"> Submit to </w:t>
      </w:r>
      <w:r w:rsidRPr="0041444E">
        <w:rPr>
          <w:rFonts w:ascii="Times New Roman" w:eastAsia="Times New Roman" w:hAnsi="Times New Roman" w:cs="Times New Roman"/>
          <w:b/>
          <w:bCs/>
          <w:kern w:val="0"/>
          <w14:ligatures w14:val="none"/>
        </w:rPr>
        <w:t>Global Environmental Change</w:t>
      </w:r>
      <w:r w:rsidRPr="0041444E">
        <w:rPr>
          <w:rFonts w:ascii="Times New Roman" w:eastAsia="Times New Roman" w:hAnsi="Times New Roman" w:cs="Times New Roman"/>
          <w:kern w:val="0"/>
          <w14:ligatures w14:val="none"/>
        </w:rPr>
        <w:t>. Best combination of fit, impact, and realistic acceptance odds. The CCDR grounding and seven-country evidence base give you a strong case.</w:t>
      </w:r>
    </w:p>
    <w:p w14:paraId="657854EC" w14:textId="77777777" w:rsidR="0041444E" w:rsidRPr="0041444E" w:rsidRDefault="0041444E" w:rsidP="0041444E">
      <w:p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If rejected — Round 2:</w:t>
      </w:r>
      <w:r w:rsidRPr="0041444E">
        <w:rPr>
          <w:rFonts w:ascii="Times New Roman" w:eastAsia="Times New Roman" w:hAnsi="Times New Roman" w:cs="Times New Roman"/>
          <w:kern w:val="0"/>
          <w14:ligatures w14:val="none"/>
        </w:rPr>
        <w:t xml:space="preserve"> Choose between </w:t>
      </w:r>
      <w:r w:rsidRPr="0041444E">
        <w:rPr>
          <w:rFonts w:ascii="Times New Roman" w:eastAsia="Times New Roman" w:hAnsi="Times New Roman" w:cs="Times New Roman"/>
          <w:b/>
          <w:bCs/>
          <w:kern w:val="0"/>
          <w14:ligatures w14:val="none"/>
        </w:rPr>
        <w:t>Climate Policy</w:t>
      </w:r>
      <w:r w:rsidRPr="0041444E">
        <w:rPr>
          <w:rFonts w:ascii="Times New Roman" w:eastAsia="Times New Roman" w:hAnsi="Times New Roman" w:cs="Times New Roman"/>
          <w:kern w:val="0"/>
          <w14:ligatures w14:val="none"/>
        </w:rPr>
        <w:t xml:space="preserve"> (if reviewer feedback suggests the policy framing is the strength) or </w:t>
      </w:r>
      <w:r w:rsidRPr="0041444E">
        <w:rPr>
          <w:rFonts w:ascii="Times New Roman" w:eastAsia="Times New Roman" w:hAnsi="Times New Roman" w:cs="Times New Roman"/>
          <w:b/>
          <w:bCs/>
          <w:kern w:val="0"/>
          <w14:ligatures w14:val="none"/>
        </w:rPr>
        <w:t>Nature Sustainability</w:t>
      </w:r>
      <w:r w:rsidRPr="0041444E">
        <w:rPr>
          <w:rFonts w:ascii="Times New Roman" w:eastAsia="Times New Roman" w:hAnsi="Times New Roman" w:cs="Times New Roman"/>
          <w:kern w:val="0"/>
          <w14:ligatures w14:val="none"/>
        </w:rPr>
        <w:t xml:space="preserve"> (if feedback suggests the breadth and novelty are the strength but the original venue wasn't quite right).</w:t>
      </w:r>
    </w:p>
    <w:p w14:paraId="545ECA69" w14:textId="77777777" w:rsidR="0041444E" w:rsidRPr="0041444E" w:rsidRDefault="0041444E" w:rsidP="0041444E">
      <w:p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b/>
          <w:bCs/>
          <w:kern w:val="0"/>
          <w14:ligatures w14:val="none"/>
        </w:rPr>
        <w:t>If rejected — Round 3:</w:t>
      </w:r>
      <w:r w:rsidRPr="0041444E">
        <w:rPr>
          <w:rFonts w:ascii="Times New Roman" w:eastAsia="Times New Roman" w:hAnsi="Times New Roman" w:cs="Times New Roman"/>
          <w:kern w:val="0"/>
          <w14:ligatures w14:val="none"/>
        </w:rPr>
        <w:t xml:space="preserve"> </w:t>
      </w:r>
      <w:r w:rsidRPr="0041444E">
        <w:rPr>
          <w:rFonts w:ascii="Times New Roman" w:eastAsia="Times New Roman" w:hAnsi="Times New Roman" w:cs="Times New Roman"/>
          <w:b/>
          <w:bCs/>
          <w:kern w:val="0"/>
          <w14:ligatures w14:val="none"/>
        </w:rPr>
        <w:t>Energy Policy</w:t>
      </w:r>
      <w:r w:rsidRPr="0041444E">
        <w:rPr>
          <w:rFonts w:ascii="Times New Roman" w:eastAsia="Times New Roman" w:hAnsi="Times New Roman" w:cs="Times New Roman"/>
          <w:kern w:val="0"/>
          <w14:ligatures w14:val="none"/>
        </w:rPr>
        <w:t xml:space="preserve"> or </w:t>
      </w:r>
      <w:r w:rsidRPr="0041444E">
        <w:rPr>
          <w:rFonts w:ascii="Times New Roman" w:eastAsia="Times New Roman" w:hAnsi="Times New Roman" w:cs="Times New Roman"/>
          <w:b/>
          <w:bCs/>
          <w:kern w:val="0"/>
          <w14:ligatures w14:val="none"/>
        </w:rPr>
        <w:t>Environmental Science &amp; Policy</w:t>
      </w:r>
      <w:r w:rsidRPr="0041444E">
        <w:rPr>
          <w:rFonts w:ascii="Times New Roman" w:eastAsia="Times New Roman" w:hAnsi="Times New Roman" w:cs="Times New Roman"/>
          <w:kern w:val="0"/>
          <w14:ligatures w14:val="none"/>
        </w:rPr>
        <w:t>. Both are strong venues with high acceptance probability for this work.</w:t>
      </w:r>
    </w:p>
    <w:p w14:paraId="5387EE77" w14:textId="77777777" w:rsidR="0041444E" w:rsidRPr="0041444E" w:rsidRDefault="0041444E" w:rsidP="0041444E">
      <w:p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 xml:space="preserve">The one wild card: if your results produce a genuinely striking headline finding — something like "employment co-benefits of climate investment are robust in only 3 of 7 countries, and here's what determines it" — then leading with </w:t>
      </w:r>
      <w:r w:rsidRPr="0041444E">
        <w:rPr>
          <w:rFonts w:ascii="Times New Roman" w:eastAsia="Times New Roman" w:hAnsi="Times New Roman" w:cs="Times New Roman"/>
          <w:b/>
          <w:bCs/>
          <w:kern w:val="0"/>
          <w14:ligatures w14:val="none"/>
        </w:rPr>
        <w:t>Nature Climate Change</w:t>
      </w:r>
      <w:r w:rsidRPr="0041444E">
        <w:rPr>
          <w:rFonts w:ascii="Times New Roman" w:eastAsia="Times New Roman" w:hAnsi="Times New Roman" w:cs="Times New Roman"/>
          <w:kern w:val="0"/>
          <w14:ligatures w14:val="none"/>
        </w:rPr>
        <w:t xml:space="preserve"> becomes defensible. But I'd only do that if the results deliver a clear, surprising, and compact story.</w:t>
      </w:r>
    </w:p>
    <w:p w14:paraId="20D440A5" w14:textId="77777777" w:rsidR="0041444E" w:rsidRPr="0041444E" w:rsidRDefault="00527728" w:rsidP="004144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8693E8">
          <v:rect id="_x0000_i1031" alt="" style="width:468pt;height:.05pt;mso-width-percent:0;mso-height-percent:0;mso-width-percent:0;mso-height-percent:0" o:hralign="center" o:hrstd="t" o:hr="t" fillcolor="#a0a0a0" stroked="f"/>
        </w:pict>
      </w:r>
    </w:p>
    <w:p w14:paraId="09C0C59F" w14:textId="77777777" w:rsidR="0041444E" w:rsidRPr="0041444E" w:rsidRDefault="0041444E" w:rsidP="0041444E">
      <w:pPr>
        <w:spacing w:before="100" w:beforeAutospacing="1" w:after="100" w:afterAutospacing="1" w:line="240" w:lineRule="auto"/>
        <w:rPr>
          <w:rFonts w:ascii="Times New Roman" w:eastAsia="Times New Roman" w:hAnsi="Times New Roman" w:cs="Times New Roman"/>
          <w:kern w:val="0"/>
          <w14:ligatures w14:val="none"/>
        </w:rPr>
      </w:pPr>
      <w:r w:rsidRPr="0041444E">
        <w:rPr>
          <w:rFonts w:ascii="Times New Roman" w:eastAsia="Times New Roman" w:hAnsi="Times New Roman" w:cs="Times New Roman"/>
          <w:kern w:val="0"/>
          <w14:ligatures w14:val="none"/>
        </w:rPr>
        <w:t>Want me to draft the introduction or the literature positioning section based on this revised structure?</w:t>
      </w:r>
    </w:p>
    <w:p w14:paraId="50DCA3AD" w14:textId="77777777" w:rsidR="0041444E" w:rsidRDefault="0041444E" w:rsidP="00F23D0F"/>
    <w:sectPr w:rsidR="004144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B41"/>
    <w:multiLevelType w:val="multilevel"/>
    <w:tmpl w:val="D184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41A0F"/>
    <w:multiLevelType w:val="multilevel"/>
    <w:tmpl w:val="CC2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126F7"/>
    <w:multiLevelType w:val="multilevel"/>
    <w:tmpl w:val="3052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36A5E"/>
    <w:multiLevelType w:val="multilevel"/>
    <w:tmpl w:val="B4C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6724C"/>
    <w:multiLevelType w:val="multilevel"/>
    <w:tmpl w:val="486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F654D"/>
    <w:multiLevelType w:val="multilevel"/>
    <w:tmpl w:val="EAD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92300"/>
    <w:multiLevelType w:val="multilevel"/>
    <w:tmpl w:val="C89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A2E39"/>
    <w:multiLevelType w:val="multilevel"/>
    <w:tmpl w:val="D60A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75776"/>
    <w:multiLevelType w:val="multilevel"/>
    <w:tmpl w:val="0294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E6C37"/>
    <w:multiLevelType w:val="multilevel"/>
    <w:tmpl w:val="AA90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858B5"/>
    <w:multiLevelType w:val="multilevel"/>
    <w:tmpl w:val="C3FAF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C5AD0"/>
    <w:multiLevelType w:val="multilevel"/>
    <w:tmpl w:val="34D8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D97B3C"/>
    <w:multiLevelType w:val="multilevel"/>
    <w:tmpl w:val="FD8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C75BB"/>
    <w:multiLevelType w:val="multilevel"/>
    <w:tmpl w:val="B62C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7229D"/>
    <w:multiLevelType w:val="multilevel"/>
    <w:tmpl w:val="0D4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B2F07"/>
    <w:multiLevelType w:val="multilevel"/>
    <w:tmpl w:val="B9403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09854">
    <w:abstractNumId w:val="1"/>
  </w:num>
  <w:num w:numId="2" w16cid:durableId="1875337801">
    <w:abstractNumId w:val="0"/>
  </w:num>
  <w:num w:numId="3" w16cid:durableId="1793086617">
    <w:abstractNumId w:val="12"/>
  </w:num>
  <w:num w:numId="4" w16cid:durableId="987246587">
    <w:abstractNumId w:val="8"/>
  </w:num>
  <w:num w:numId="5" w16cid:durableId="668950093">
    <w:abstractNumId w:val="14"/>
  </w:num>
  <w:num w:numId="6" w16cid:durableId="1093404889">
    <w:abstractNumId w:val="13"/>
  </w:num>
  <w:num w:numId="7" w16cid:durableId="1774322519">
    <w:abstractNumId w:val="3"/>
  </w:num>
  <w:num w:numId="8" w16cid:durableId="711882977">
    <w:abstractNumId w:val="11"/>
  </w:num>
  <w:num w:numId="9" w16cid:durableId="544636267">
    <w:abstractNumId w:val="6"/>
  </w:num>
  <w:num w:numId="10" w16cid:durableId="1964732287">
    <w:abstractNumId w:val="9"/>
  </w:num>
  <w:num w:numId="11" w16cid:durableId="2088961615">
    <w:abstractNumId w:val="2"/>
  </w:num>
  <w:num w:numId="12" w16cid:durableId="1546284974">
    <w:abstractNumId w:val="10"/>
  </w:num>
  <w:num w:numId="13" w16cid:durableId="1058474484">
    <w:abstractNumId w:val="7"/>
  </w:num>
  <w:num w:numId="14" w16cid:durableId="867644303">
    <w:abstractNumId w:val="15"/>
  </w:num>
  <w:num w:numId="15" w16cid:durableId="1770194651">
    <w:abstractNumId w:val="4"/>
  </w:num>
  <w:num w:numId="16" w16cid:durableId="1128167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0F"/>
    <w:rsid w:val="0023189E"/>
    <w:rsid w:val="00302F8D"/>
    <w:rsid w:val="0041444E"/>
    <w:rsid w:val="00527728"/>
    <w:rsid w:val="0067329E"/>
    <w:rsid w:val="006B3951"/>
    <w:rsid w:val="008B695F"/>
    <w:rsid w:val="00C27229"/>
    <w:rsid w:val="00D45626"/>
    <w:rsid w:val="00E7538B"/>
    <w:rsid w:val="00F23D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0B066C6"/>
  <w15:chartTrackingRefBased/>
  <w15:docId w15:val="{D59F76A7-4EBF-784A-9B97-84273760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0F"/>
    <w:rPr>
      <w:rFonts w:eastAsiaTheme="majorEastAsia" w:cstheme="majorBidi"/>
      <w:color w:val="272727" w:themeColor="text1" w:themeTint="D8"/>
    </w:rPr>
  </w:style>
  <w:style w:type="paragraph" w:styleId="Title">
    <w:name w:val="Title"/>
    <w:basedOn w:val="Normal"/>
    <w:next w:val="Normal"/>
    <w:link w:val="TitleChar"/>
    <w:uiPriority w:val="10"/>
    <w:qFormat/>
    <w:rsid w:val="00F23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0F"/>
    <w:pPr>
      <w:spacing w:before="160"/>
      <w:jc w:val="center"/>
    </w:pPr>
    <w:rPr>
      <w:i/>
      <w:iCs/>
      <w:color w:val="404040" w:themeColor="text1" w:themeTint="BF"/>
    </w:rPr>
  </w:style>
  <w:style w:type="character" w:customStyle="1" w:styleId="QuoteChar">
    <w:name w:val="Quote Char"/>
    <w:basedOn w:val="DefaultParagraphFont"/>
    <w:link w:val="Quote"/>
    <w:uiPriority w:val="29"/>
    <w:rsid w:val="00F23D0F"/>
    <w:rPr>
      <w:i/>
      <w:iCs/>
      <w:color w:val="404040" w:themeColor="text1" w:themeTint="BF"/>
    </w:rPr>
  </w:style>
  <w:style w:type="paragraph" w:styleId="ListParagraph">
    <w:name w:val="List Paragraph"/>
    <w:basedOn w:val="Normal"/>
    <w:uiPriority w:val="34"/>
    <w:qFormat/>
    <w:rsid w:val="00F23D0F"/>
    <w:pPr>
      <w:ind w:left="720"/>
      <w:contextualSpacing/>
    </w:pPr>
  </w:style>
  <w:style w:type="character" w:styleId="IntenseEmphasis">
    <w:name w:val="Intense Emphasis"/>
    <w:basedOn w:val="DefaultParagraphFont"/>
    <w:uiPriority w:val="21"/>
    <w:qFormat/>
    <w:rsid w:val="00F23D0F"/>
    <w:rPr>
      <w:i/>
      <w:iCs/>
      <w:color w:val="0F4761" w:themeColor="accent1" w:themeShade="BF"/>
    </w:rPr>
  </w:style>
  <w:style w:type="paragraph" w:styleId="IntenseQuote">
    <w:name w:val="Intense Quote"/>
    <w:basedOn w:val="Normal"/>
    <w:next w:val="Normal"/>
    <w:link w:val="IntenseQuoteChar"/>
    <w:uiPriority w:val="30"/>
    <w:qFormat/>
    <w:rsid w:val="00F23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D0F"/>
    <w:rPr>
      <w:i/>
      <w:iCs/>
      <w:color w:val="0F4761" w:themeColor="accent1" w:themeShade="BF"/>
    </w:rPr>
  </w:style>
  <w:style w:type="character" w:styleId="IntenseReference">
    <w:name w:val="Intense Reference"/>
    <w:basedOn w:val="DefaultParagraphFont"/>
    <w:uiPriority w:val="32"/>
    <w:qFormat/>
    <w:rsid w:val="00F23D0F"/>
    <w:rPr>
      <w:b/>
      <w:bCs/>
      <w:smallCaps/>
      <w:color w:val="0F4761" w:themeColor="accent1" w:themeShade="BF"/>
      <w:spacing w:val="5"/>
    </w:rPr>
  </w:style>
  <w:style w:type="paragraph" w:customStyle="1" w:styleId="font-claude-response-body">
    <w:name w:val="font-claude-response-body"/>
    <w:basedOn w:val="Normal"/>
    <w:rsid w:val="00F23D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3D0F"/>
    <w:rPr>
      <w:b/>
      <w:bCs/>
    </w:rPr>
  </w:style>
  <w:style w:type="character" w:styleId="Emphasis">
    <w:name w:val="Emphasis"/>
    <w:basedOn w:val="DefaultParagraphFont"/>
    <w:uiPriority w:val="20"/>
    <w:qFormat/>
    <w:rsid w:val="00F23D0F"/>
    <w:rPr>
      <w:i/>
      <w:iCs/>
    </w:rPr>
  </w:style>
  <w:style w:type="paragraph" w:customStyle="1" w:styleId="whitespace-normal">
    <w:name w:val="whitespace-normal"/>
    <w:basedOn w:val="Normal"/>
    <w:rsid w:val="00F23D0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14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2776</Words>
  <Characters>17658</Characters>
  <Application>Microsoft Office Word</Application>
  <DocSecurity>0</DocSecurity>
  <Lines>430</Lines>
  <Paragraphs>258</Paragraphs>
  <ScaleCrop>false</ScaleCrop>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Edmundo Molina Perez</dc:creator>
  <cp:keywords/>
  <dc:description/>
  <cp:lastModifiedBy>Fernando Esteves</cp:lastModifiedBy>
  <cp:revision>2</cp:revision>
  <dcterms:created xsi:type="dcterms:W3CDTF">2026-04-01T01:00:00Z</dcterms:created>
  <dcterms:modified xsi:type="dcterms:W3CDTF">2026-04-01T01:00:00Z</dcterms:modified>
</cp:coreProperties>
</file>