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579EF" w14:textId="77777777" w:rsidR="00EC561A" w:rsidRPr="00A11F5E" w:rsidRDefault="00EC561A" w:rsidP="00EC561A">
      <w:pPr>
        <w:pStyle w:val="Title"/>
        <w:rPr>
          <w:sz w:val="36"/>
          <w:szCs w:val="36"/>
        </w:rPr>
      </w:pPr>
      <w:r w:rsidRPr="00A11F5E">
        <w:rPr>
          <w:sz w:val="36"/>
          <w:szCs w:val="36"/>
        </w:rPr>
        <w:t>When do climate investments create jobs? The conditions behind employment creation</w:t>
      </w:r>
    </w:p>
    <w:p w14:paraId="66E3A7C1" w14:textId="3B99C7C8" w:rsidR="00EC561A" w:rsidRPr="00E2366A" w:rsidRDefault="00EC561A" w:rsidP="00EC561A">
      <w:pPr>
        <w:pStyle w:val="Subtitle"/>
        <w:spacing w:after="0"/>
        <w:rPr>
          <w:sz w:val="24"/>
          <w:szCs w:val="24"/>
          <w:lang w:val="pt-BR"/>
        </w:rPr>
      </w:pPr>
      <w:r w:rsidRPr="00E2366A">
        <w:rPr>
          <w:sz w:val="24"/>
          <w:szCs w:val="24"/>
          <w:lang w:val="pt-BR"/>
        </w:rPr>
        <w:t>Fernando Esteves</w:t>
      </w:r>
      <w:r w:rsidR="00E2366A" w:rsidRPr="00E2366A">
        <w:rPr>
          <w:sz w:val="24"/>
          <w:szCs w:val="24"/>
          <w:lang w:val="pt-BR"/>
        </w:rPr>
        <w:t>, James Syme, a</w:t>
      </w:r>
      <w:r w:rsidR="00E2366A">
        <w:rPr>
          <w:sz w:val="24"/>
          <w:szCs w:val="24"/>
          <w:lang w:val="pt-BR"/>
        </w:rPr>
        <w:t>nd Edmundo Molina</w:t>
      </w:r>
    </w:p>
    <w:p w14:paraId="22F8178B" w14:textId="77777777" w:rsidR="00EC561A" w:rsidRPr="00A11F5E" w:rsidRDefault="00EC561A" w:rsidP="00EC561A">
      <w:pPr>
        <w:pStyle w:val="Heading1"/>
      </w:pPr>
      <w:r w:rsidRPr="00A11F5E">
        <w:t>1. Introduction</w:t>
      </w:r>
    </w:p>
    <w:p w14:paraId="5A3C1EA6" w14:textId="77777777" w:rsidR="00EC561A" w:rsidRPr="00A11F5E" w:rsidRDefault="00EC561A" w:rsidP="00EC561A">
      <w:pPr>
        <w:pStyle w:val="Heading1"/>
      </w:pPr>
      <w:r w:rsidRPr="00A11F5E">
        <w:t>2. Literature Review</w:t>
      </w:r>
    </w:p>
    <w:p w14:paraId="4F70B666" w14:textId="1FB1D9C7" w:rsidR="00EC561A" w:rsidRPr="002A2D5A" w:rsidRDefault="00EC561A" w:rsidP="00EC561A">
      <w:pPr>
        <w:pStyle w:val="Heading2"/>
      </w:pPr>
      <w:r w:rsidRPr="00A11F5E">
        <w:t xml:space="preserve">2.1 </w:t>
      </w:r>
      <w:r w:rsidR="00F1229F" w:rsidRPr="00F1229F">
        <w:t>Three modelling traditions</w:t>
      </w:r>
      <w:r w:rsidR="00F1229F">
        <w:t xml:space="preserve"> in employment estimation</w:t>
      </w:r>
    </w:p>
    <w:p w14:paraId="321236B4" w14:textId="77777777" w:rsidR="00EC561A" w:rsidRDefault="00EC561A" w:rsidP="00EC561A">
      <w:pPr>
        <w:jc w:val="both"/>
        <w:rPr>
          <w:rFonts w:ascii="Times New Roman" w:hAnsi="Times New Roman" w:cs="Times New Roman"/>
          <w:sz w:val="22"/>
          <w:szCs w:val="22"/>
        </w:rPr>
      </w:pPr>
      <w:r w:rsidRPr="001B55EE">
        <w:rPr>
          <w:rFonts w:ascii="Times New Roman" w:hAnsi="Times New Roman" w:cs="Times New Roman"/>
          <w:sz w:val="22"/>
          <w:szCs w:val="22"/>
        </w:rPr>
        <w:t xml:space="preserve">The literature on </w:t>
      </w:r>
      <w:r>
        <w:rPr>
          <w:rFonts w:ascii="Times New Roman" w:hAnsi="Times New Roman" w:cs="Times New Roman"/>
          <w:sz w:val="22"/>
          <w:szCs w:val="22"/>
        </w:rPr>
        <w:t xml:space="preserve">the </w:t>
      </w:r>
      <w:r w:rsidRPr="001B55EE">
        <w:rPr>
          <w:rFonts w:ascii="Times New Roman" w:hAnsi="Times New Roman" w:cs="Times New Roman"/>
          <w:sz w:val="22"/>
          <w:szCs w:val="22"/>
        </w:rPr>
        <w:t>employment effects of climate mitigation has been developed along three main methodological lines</w:t>
      </w:r>
      <w:r>
        <w:rPr>
          <w:rFonts w:ascii="Times New Roman" w:hAnsi="Times New Roman" w:cs="Times New Roman"/>
          <w:sz w:val="22"/>
          <w:szCs w:val="22"/>
        </w:rPr>
        <w:t xml:space="preserve"> – I</w:t>
      </w:r>
      <w:r w:rsidRPr="001B55EE">
        <w:rPr>
          <w:rFonts w:ascii="Times New Roman" w:hAnsi="Times New Roman" w:cs="Times New Roman"/>
          <w:sz w:val="22"/>
          <w:szCs w:val="22"/>
        </w:rPr>
        <w:t>nput-</w:t>
      </w:r>
      <w:r>
        <w:rPr>
          <w:rFonts w:ascii="Times New Roman" w:hAnsi="Times New Roman" w:cs="Times New Roman"/>
          <w:sz w:val="22"/>
          <w:szCs w:val="22"/>
        </w:rPr>
        <w:t>O</w:t>
      </w:r>
      <w:r w:rsidRPr="001B55EE">
        <w:rPr>
          <w:rFonts w:ascii="Times New Roman" w:hAnsi="Times New Roman" w:cs="Times New Roman"/>
          <w:sz w:val="22"/>
          <w:szCs w:val="22"/>
        </w:rPr>
        <w:t>utput</w:t>
      </w:r>
      <w:r>
        <w:rPr>
          <w:rFonts w:ascii="Times New Roman" w:hAnsi="Times New Roman" w:cs="Times New Roman"/>
          <w:sz w:val="22"/>
          <w:szCs w:val="22"/>
        </w:rPr>
        <w:t xml:space="preserve"> (IO), c</w:t>
      </w:r>
      <w:r w:rsidRPr="001B55EE">
        <w:rPr>
          <w:rFonts w:ascii="Times New Roman" w:hAnsi="Times New Roman" w:cs="Times New Roman"/>
          <w:sz w:val="22"/>
          <w:szCs w:val="22"/>
        </w:rPr>
        <w:t>omputable general equilibrium</w:t>
      </w:r>
      <w:r>
        <w:rPr>
          <w:rFonts w:ascii="Times New Roman" w:hAnsi="Times New Roman" w:cs="Times New Roman"/>
          <w:sz w:val="22"/>
          <w:szCs w:val="22"/>
        </w:rPr>
        <w:t xml:space="preserve"> (CGE), and macro-econometric models –</w:t>
      </w:r>
      <w:r w:rsidRPr="001B55EE">
        <w:rPr>
          <w:rFonts w:ascii="Times New Roman" w:hAnsi="Times New Roman" w:cs="Times New Roman"/>
          <w:sz w:val="22"/>
          <w:szCs w:val="22"/>
        </w:rPr>
        <w:t xml:space="preserve"> each with particular</w:t>
      </w:r>
      <w:r>
        <w:rPr>
          <w:rFonts w:ascii="Times New Roman" w:hAnsi="Times New Roman" w:cs="Times New Roman"/>
          <w:sz w:val="22"/>
          <w:szCs w:val="22"/>
        </w:rPr>
        <w:t xml:space="preserve"> </w:t>
      </w:r>
      <w:r w:rsidRPr="001B55EE">
        <w:rPr>
          <w:rFonts w:ascii="Times New Roman" w:hAnsi="Times New Roman" w:cs="Times New Roman"/>
          <w:sz w:val="22"/>
          <w:szCs w:val="22"/>
        </w:rPr>
        <w:t xml:space="preserve">strengths and limitations. </w:t>
      </w:r>
      <w:r>
        <w:rPr>
          <w:rFonts w:ascii="Times New Roman" w:hAnsi="Times New Roman" w:cs="Times New Roman"/>
          <w:sz w:val="22"/>
          <w:szCs w:val="22"/>
        </w:rPr>
        <w:t>This paper explores a gap shared across these approaches: the treatment of cost structures of climate investments as known inputs when modeling job creation potential, despite the considerable uncertainty surrounding them. Whether by assuming fixed cost breakdowns, deriving cost trajectories from a fixed initial structure, or projecting historical trends forward, each tradition produces e</w:t>
      </w:r>
      <w:r w:rsidRPr="00064452">
        <w:rPr>
          <w:rFonts w:ascii="Times New Roman" w:hAnsi="Times New Roman" w:cs="Times New Roman"/>
          <w:sz w:val="22"/>
          <w:szCs w:val="22"/>
        </w:rPr>
        <w:t xml:space="preserve">mployment multipliers that </w:t>
      </w:r>
      <w:r>
        <w:rPr>
          <w:rFonts w:ascii="Times New Roman" w:hAnsi="Times New Roman" w:cs="Times New Roman"/>
          <w:sz w:val="22"/>
          <w:szCs w:val="22"/>
        </w:rPr>
        <w:t xml:space="preserve">may </w:t>
      </w:r>
      <w:r w:rsidRPr="00064452">
        <w:rPr>
          <w:rFonts w:ascii="Times New Roman" w:hAnsi="Times New Roman" w:cs="Times New Roman"/>
          <w:sz w:val="22"/>
          <w:szCs w:val="22"/>
        </w:rPr>
        <w:t xml:space="preserve">not fully capture </w:t>
      </w:r>
      <w:r>
        <w:rPr>
          <w:rFonts w:ascii="Times New Roman" w:hAnsi="Times New Roman" w:cs="Times New Roman"/>
          <w:sz w:val="22"/>
          <w:szCs w:val="22"/>
        </w:rPr>
        <w:t xml:space="preserve">the variability of </w:t>
      </w:r>
      <w:r w:rsidRPr="00064452">
        <w:rPr>
          <w:rFonts w:ascii="Times New Roman" w:hAnsi="Times New Roman" w:cs="Times New Roman"/>
          <w:sz w:val="22"/>
          <w:szCs w:val="22"/>
        </w:rPr>
        <w:t xml:space="preserve">key structural conditions </w:t>
      </w:r>
      <w:r>
        <w:rPr>
          <w:rFonts w:ascii="Times New Roman" w:hAnsi="Times New Roman" w:cs="Times New Roman"/>
          <w:sz w:val="22"/>
          <w:szCs w:val="22"/>
        </w:rPr>
        <w:t>affecting</w:t>
      </w:r>
      <w:r w:rsidRPr="00064452">
        <w:rPr>
          <w:rFonts w:ascii="Times New Roman" w:hAnsi="Times New Roman" w:cs="Times New Roman"/>
          <w:sz w:val="22"/>
          <w:szCs w:val="22"/>
        </w:rPr>
        <w:t xml:space="preserve"> job creation</w:t>
      </w:r>
      <w:r>
        <w:rPr>
          <w:rFonts w:ascii="Times New Roman" w:hAnsi="Times New Roman" w:cs="Times New Roman"/>
          <w:sz w:val="22"/>
          <w:szCs w:val="22"/>
        </w:rPr>
        <w:t xml:space="preserve"> across contexts. </w:t>
      </w:r>
      <w:r w:rsidRPr="004C1C57">
        <w:rPr>
          <w:rFonts w:ascii="Times New Roman" w:hAnsi="Times New Roman" w:cs="Times New Roman"/>
          <w:color w:val="000000" w:themeColor="text1"/>
          <w:sz w:val="22"/>
          <w:szCs w:val="22"/>
        </w:rPr>
        <w:t>The limitation becomes more consequential when economic sectors are expected to undergo fundamental restructuring in response to climate policies – adopting new practices and technologies rather than making incremental adjustments.</w:t>
      </w:r>
    </w:p>
    <w:p w14:paraId="7FC97473" w14:textId="77777777" w:rsidR="00EC561A" w:rsidRDefault="00EC561A" w:rsidP="00EC561A">
      <w:pPr>
        <w:jc w:val="both"/>
        <w:rPr>
          <w:rFonts w:ascii="Times New Roman" w:hAnsi="Times New Roman" w:cs="Times New Roman"/>
          <w:sz w:val="22"/>
          <w:szCs w:val="22"/>
        </w:rPr>
      </w:pPr>
      <w:r w:rsidRPr="001B55EE">
        <w:rPr>
          <w:rFonts w:ascii="Times New Roman" w:hAnsi="Times New Roman" w:cs="Times New Roman"/>
          <w:sz w:val="22"/>
          <w:szCs w:val="22"/>
        </w:rPr>
        <w:t xml:space="preserve">Input-output (IO) frameworks, </w:t>
      </w:r>
      <w:r>
        <w:rPr>
          <w:rFonts w:ascii="Times New Roman" w:hAnsi="Times New Roman" w:cs="Times New Roman"/>
          <w:sz w:val="22"/>
          <w:szCs w:val="22"/>
        </w:rPr>
        <w:t>including</w:t>
      </w:r>
      <w:r w:rsidRPr="001B55EE">
        <w:rPr>
          <w:rFonts w:ascii="Times New Roman" w:hAnsi="Times New Roman" w:cs="Times New Roman"/>
          <w:sz w:val="22"/>
          <w:szCs w:val="22"/>
        </w:rPr>
        <w:t xml:space="preserve"> national and multi-region Input-Output table (MRIO) models</w:t>
      </w:r>
      <w:r>
        <w:rPr>
          <w:rStyle w:val="FootnoteReference"/>
          <w:rFonts w:ascii="Times New Roman" w:hAnsi="Times New Roman" w:cs="Times New Roman"/>
          <w:sz w:val="22"/>
          <w:szCs w:val="22"/>
        </w:rPr>
        <w:footnoteReference w:id="1"/>
      </w:r>
      <w:r w:rsidRPr="001B55EE">
        <w:rPr>
          <w:rFonts w:ascii="Times New Roman" w:hAnsi="Times New Roman" w:cs="Times New Roman"/>
          <w:sz w:val="22"/>
          <w:szCs w:val="22"/>
        </w:rPr>
        <w:t xml:space="preserve">, have been increasingly used </w:t>
      </w:r>
      <w:r>
        <w:rPr>
          <w:rFonts w:ascii="Times New Roman" w:hAnsi="Times New Roman" w:cs="Times New Roman"/>
          <w:sz w:val="22"/>
          <w:szCs w:val="22"/>
        </w:rPr>
        <w:t>to estimate job creation potential in the low-carbon transition</w:t>
      </w:r>
      <w:r w:rsidRPr="001B55EE">
        <w:rPr>
          <w:rFonts w:ascii="Times New Roman" w:hAnsi="Times New Roman" w:cs="Times New Roman"/>
          <w:sz w:val="22"/>
          <w:szCs w:val="22"/>
        </w:rPr>
        <w:t xml:space="preserve"> (Bücker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San Miguel et al., 2024;</w:t>
      </w:r>
      <w:r w:rsidRPr="001B55EE">
        <w:rPr>
          <w:rFonts w:ascii="Times New Roman" w:hAnsi="Times New Roman" w:cs="Times New Roman"/>
          <w:sz w:val="22"/>
          <w:szCs w:val="22"/>
        </w:rPr>
        <w:t xml:space="preserve"> </w:t>
      </w:r>
      <w:r w:rsidRPr="00606019">
        <w:rPr>
          <w:rFonts w:ascii="Times New Roman" w:hAnsi="Times New Roman" w:cs="Times New Roman"/>
          <w:sz w:val="22"/>
          <w:szCs w:val="22"/>
        </w:rPr>
        <w:t xml:space="preserve">Černý </w:t>
      </w:r>
      <w:r>
        <w:rPr>
          <w:rFonts w:ascii="Times New Roman" w:hAnsi="Times New Roman" w:cs="Times New Roman"/>
          <w:sz w:val="22"/>
          <w:szCs w:val="22"/>
        </w:rPr>
        <w:t>et al., 2021; Montt et al., 2018</w:t>
      </w:r>
      <w:r w:rsidRPr="001B55EE">
        <w:rPr>
          <w:rFonts w:ascii="Times New Roman" w:hAnsi="Times New Roman" w:cs="Times New Roman"/>
          <w:sz w:val="22"/>
          <w:szCs w:val="22"/>
        </w:rPr>
        <w:t>)</w:t>
      </w:r>
      <w:r>
        <w:rPr>
          <w:rFonts w:ascii="Times New Roman" w:hAnsi="Times New Roman" w:cs="Times New Roman"/>
          <w:sz w:val="22"/>
          <w:szCs w:val="22"/>
        </w:rPr>
        <w:t>.</w:t>
      </w:r>
      <w:r w:rsidRPr="001B55EE">
        <w:rPr>
          <w:rFonts w:ascii="Times New Roman" w:hAnsi="Times New Roman" w:cs="Times New Roman"/>
          <w:sz w:val="22"/>
          <w:szCs w:val="22"/>
        </w:rPr>
        <w:t xml:space="preserve"> </w:t>
      </w:r>
      <w:r>
        <w:rPr>
          <w:rFonts w:ascii="Times New Roman" w:hAnsi="Times New Roman" w:cs="Times New Roman"/>
          <w:sz w:val="22"/>
          <w:szCs w:val="22"/>
        </w:rPr>
        <w:t>The framework</w:t>
      </w:r>
      <w:r w:rsidRPr="001B55EE">
        <w:rPr>
          <w:rFonts w:ascii="Times New Roman" w:hAnsi="Times New Roman" w:cs="Times New Roman"/>
          <w:sz w:val="22"/>
          <w:szCs w:val="22"/>
        </w:rPr>
        <w:t xml:space="preserve"> </w:t>
      </w:r>
      <w:r>
        <w:rPr>
          <w:rFonts w:ascii="Times New Roman" w:hAnsi="Times New Roman" w:cs="Times New Roman"/>
          <w:sz w:val="22"/>
          <w:szCs w:val="22"/>
        </w:rPr>
        <w:t>traces</w:t>
      </w:r>
      <w:r w:rsidRPr="001B55EE">
        <w:rPr>
          <w:rFonts w:ascii="Times New Roman" w:hAnsi="Times New Roman" w:cs="Times New Roman"/>
          <w:sz w:val="22"/>
          <w:szCs w:val="22"/>
        </w:rPr>
        <w:t xml:space="preserve"> how a dollar of exogenous final demand (e.g., new investment) propagates through inter-industry supply chains</w:t>
      </w:r>
      <w:r>
        <w:rPr>
          <w:rFonts w:ascii="Times New Roman" w:hAnsi="Times New Roman" w:cs="Times New Roman"/>
          <w:sz w:val="22"/>
          <w:szCs w:val="22"/>
        </w:rPr>
        <w:t xml:space="preserve"> – translated into sectoral gross output and intermediate input requirements –, </w:t>
      </w:r>
      <w:r w:rsidRPr="001B55EE">
        <w:rPr>
          <w:rFonts w:ascii="Times New Roman" w:hAnsi="Times New Roman" w:cs="Times New Roman"/>
          <w:sz w:val="22"/>
          <w:szCs w:val="22"/>
        </w:rPr>
        <w:t>capturing direct and indirect job creation at fine sectoral</w:t>
      </w:r>
      <w:r>
        <w:rPr>
          <w:rFonts w:ascii="Times New Roman" w:hAnsi="Times New Roman" w:cs="Times New Roman"/>
          <w:sz w:val="22"/>
          <w:szCs w:val="22"/>
        </w:rPr>
        <w:t xml:space="preserve"> and regional</w:t>
      </w:r>
      <w:r w:rsidRPr="001B55EE">
        <w:rPr>
          <w:rFonts w:ascii="Times New Roman" w:hAnsi="Times New Roman" w:cs="Times New Roman"/>
          <w:sz w:val="22"/>
          <w:szCs w:val="22"/>
        </w:rPr>
        <w:t xml:space="preserve"> resolution.</w:t>
      </w:r>
      <w:r>
        <w:rPr>
          <w:rFonts w:ascii="Times New Roman" w:hAnsi="Times New Roman" w:cs="Times New Roman"/>
          <w:sz w:val="22"/>
          <w:szCs w:val="22"/>
        </w:rPr>
        <w:t xml:space="preserve"> Nonetheless, several studies in this tradition assume, at least partially, fixed cost breakdowns of green technologies or mitigation policies when constructing demand vectors (</w:t>
      </w:r>
      <w:r w:rsidRPr="001B55EE">
        <w:rPr>
          <w:rFonts w:ascii="Times New Roman" w:hAnsi="Times New Roman" w:cs="Times New Roman"/>
          <w:sz w:val="22"/>
          <w:szCs w:val="22"/>
        </w:rPr>
        <w:t>Bücker et al.</w:t>
      </w:r>
      <w:r>
        <w:rPr>
          <w:rFonts w:ascii="Times New Roman" w:hAnsi="Times New Roman" w:cs="Times New Roman"/>
          <w:sz w:val="22"/>
          <w:szCs w:val="22"/>
        </w:rPr>
        <w:t xml:space="preserve">, </w:t>
      </w:r>
      <w:r w:rsidRPr="001B55EE">
        <w:rPr>
          <w:rFonts w:ascii="Times New Roman" w:hAnsi="Times New Roman" w:cs="Times New Roman"/>
          <w:sz w:val="22"/>
          <w:szCs w:val="22"/>
        </w:rPr>
        <w:t>2025</w:t>
      </w:r>
      <w:r>
        <w:rPr>
          <w:rFonts w:ascii="Times New Roman" w:hAnsi="Times New Roman" w:cs="Times New Roman"/>
          <w:sz w:val="22"/>
          <w:szCs w:val="22"/>
        </w:rPr>
        <w:t xml:space="preserve">; Salman et al., 2025; </w:t>
      </w:r>
      <w:r w:rsidRPr="007E3EBA">
        <w:rPr>
          <w:rFonts w:ascii="Times New Roman" w:hAnsi="Times New Roman" w:cs="Times New Roman"/>
          <w:sz w:val="22"/>
          <w:szCs w:val="22"/>
        </w:rPr>
        <w:t>Bakry</w:t>
      </w:r>
      <w:r>
        <w:rPr>
          <w:rFonts w:ascii="Times New Roman" w:hAnsi="Times New Roman" w:cs="Times New Roman"/>
          <w:sz w:val="22"/>
          <w:szCs w:val="22"/>
        </w:rPr>
        <w:t xml:space="preserve"> et al., 2023; Ram et al., 2020;</w:t>
      </w:r>
      <w:r w:rsidRPr="004C00BA">
        <w:t xml:space="preserve"> </w:t>
      </w:r>
      <w:r w:rsidRPr="004C00BA">
        <w:rPr>
          <w:rFonts w:ascii="Times New Roman" w:hAnsi="Times New Roman" w:cs="Times New Roman"/>
          <w:sz w:val="22"/>
          <w:szCs w:val="22"/>
        </w:rPr>
        <w:t>Garret-Peltier, 2017</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2"/>
      </w:r>
      <w:r>
        <w:rPr>
          <w:rFonts w:ascii="Times New Roman" w:hAnsi="Times New Roman" w:cs="Times New Roman"/>
          <w:sz w:val="22"/>
          <w:szCs w:val="22"/>
        </w:rPr>
        <w:t>. This is a fragile assumption, as cost structures are subject to considerable un</w:t>
      </w:r>
      <w:r w:rsidRPr="00F26A56">
        <w:rPr>
          <w:rFonts w:ascii="Times New Roman" w:hAnsi="Times New Roman" w:cs="Times New Roman"/>
          <w:color w:val="000000" w:themeColor="text1"/>
          <w:sz w:val="22"/>
          <w:szCs w:val="22"/>
        </w:rPr>
        <w:t xml:space="preserve">certainty and may differ over time as technologies mature and across contexts. Employment multipliers can be a misleading measure of economic benefit when they do not account for variation in key factors such as the import shares of major components, the labor intensity of production, and prevailing wage levels (Agan </w:t>
      </w:r>
      <w:r w:rsidRPr="00F26A56">
        <w:rPr>
          <w:rFonts w:ascii="Times New Roman" w:hAnsi="Times New Roman" w:cs="Times New Roman"/>
          <w:color w:val="000000" w:themeColor="text1"/>
          <w:sz w:val="22"/>
          <w:szCs w:val="22"/>
        </w:rPr>
        <w:lastRenderedPageBreak/>
        <w:t>and Balcilar, 2022; Perrier and Quirrion, 2018)</w:t>
      </w:r>
      <w:r w:rsidRPr="00F26A56">
        <w:rPr>
          <w:rStyle w:val="FootnoteReference"/>
          <w:rFonts w:ascii="Times New Roman" w:hAnsi="Times New Roman" w:cs="Times New Roman"/>
          <w:color w:val="000000" w:themeColor="text1"/>
          <w:sz w:val="22"/>
          <w:szCs w:val="22"/>
        </w:rPr>
        <w:footnoteReference w:id="3"/>
      </w:r>
      <w:r w:rsidRPr="00F26A56">
        <w:rPr>
          <w:rFonts w:ascii="Times New Roman" w:hAnsi="Times New Roman" w:cs="Times New Roman"/>
          <w:color w:val="000000" w:themeColor="text1"/>
          <w:sz w:val="22"/>
          <w:szCs w:val="22"/>
        </w:rPr>
        <w:t>. This is also an issue in dynamic settings, where capital and operational expenditure trajectories remain dependent on the initial cost structure chosen.</w:t>
      </w:r>
      <w:r>
        <w:rPr>
          <w:rFonts w:ascii="Times New Roman" w:hAnsi="Times New Roman" w:cs="Times New Roman"/>
          <w:sz w:val="22"/>
          <w:szCs w:val="22"/>
        </w:rPr>
        <w:t xml:space="preserve"> </w:t>
      </w:r>
    </w:p>
    <w:p w14:paraId="6E85508B" w14:textId="77777777" w:rsidR="00EC561A" w:rsidRPr="003874D2" w:rsidRDefault="00EC561A" w:rsidP="00EC561A">
      <w:pPr>
        <w:jc w:val="both"/>
        <w:rPr>
          <w:rFonts w:ascii="Times New Roman" w:hAnsi="Times New Roman" w:cs="Times New Roman"/>
          <w:color w:val="FF0000"/>
          <w:sz w:val="22"/>
          <w:szCs w:val="22"/>
        </w:rPr>
      </w:pPr>
      <w:r w:rsidRPr="001B55EE">
        <w:rPr>
          <w:rFonts w:ascii="Times New Roman" w:hAnsi="Times New Roman" w:cs="Times New Roman"/>
          <w:sz w:val="22"/>
          <w:szCs w:val="22"/>
        </w:rPr>
        <w:t>Computable general equilibrium</w:t>
      </w:r>
      <w:r>
        <w:rPr>
          <w:rFonts w:ascii="Times New Roman" w:hAnsi="Times New Roman" w:cs="Times New Roman"/>
          <w:sz w:val="22"/>
          <w:szCs w:val="22"/>
        </w:rPr>
        <w:t xml:space="preserve"> (CGE)</w:t>
      </w:r>
      <w:r w:rsidRPr="001B55EE">
        <w:rPr>
          <w:rFonts w:ascii="Times New Roman" w:hAnsi="Times New Roman" w:cs="Times New Roman"/>
          <w:sz w:val="22"/>
          <w:szCs w:val="22"/>
        </w:rPr>
        <w:t xml:space="preserve"> models go further by allowing prices, wages, and factor substitution to adjust</w:t>
      </w:r>
      <w:r>
        <w:rPr>
          <w:rFonts w:ascii="Times New Roman" w:hAnsi="Times New Roman" w:cs="Times New Roman"/>
          <w:sz w:val="22"/>
          <w:szCs w:val="22"/>
        </w:rPr>
        <w:t xml:space="preserve">, imposing optimization and market clearing; some extensions </w:t>
      </w:r>
      <w:r w:rsidRPr="001B55EE">
        <w:rPr>
          <w:rFonts w:ascii="Times New Roman" w:hAnsi="Times New Roman" w:cs="Times New Roman"/>
          <w:sz w:val="22"/>
          <w:szCs w:val="22"/>
        </w:rPr>
        <w:t>produc</w:t>
      </w:r>
      <w:r>
        <w:rPr>
          <w:rFonts w:ascii="Times New Roman" w:hAnsi="Times New Roman" w:cs="Times New Roman"/>
          <w:sz w:val="22"/>
          <w:szCs w:val="22"/>
        </w:rPr>
        <w:t>e</w:t>
      </w:r>
      <w:r w:rsidRPr="001B55EE">
        <w:rPr>
          <w:rFonts w:ascii="Times New Roman" w:hAnsi="Times New Roman" w:cs="Times New Roman"/>
          <w:sz w:val="22"/>
          <w:szCs w:val="22"/>
        </w:rPr>
        <w:t xml:space="preserve"> net employment estimates that account for displacement</w:t>
      </w:r>
      <w:r>
        <w:rPr>
          <w:rFonts w:ascii="Times New Roman" w:hAnsi="Times New Roman" w:cs="Times New Roman"/>
          <w:sz w:val="22"/>
          <w:szCs w:val="22"/>
        </w:rPr>
        <w:t xml:space="preserve"> and imperfect labor mobility (Mealy et al., 2025; Castellanos and Neutel, 2024; </w:t>
      </w:r>
      <w:r w:rsidRPr="00606A71">
        <w:rPr>
          <w:rFonts w:ascii="Times New Roman" w:hAnsi="Times New Roman" w:cs="Times New Roman"/>
          <w:sz w:val="22"/>
          <w:szCs w:val="22"/>
        </w:rPr>
        <w:t>Fragkos &amp; Fragkiadakis, 2022</w:t>
      </w:r>
      <w:r>
        <w:rPr>
          <w:rFonts w:ascii="Times New Roman" w:hAnsi="Times New Roman" w:cs="Times New Roman"/>
          <w:sz w:val="22"/>
          <w:szCs w:val="22"/>
        </w:rPr>
        <w:t xml:space="preserve">; Chateau et al., 2018; </w:t>
      </w:r>
      <w:r w:rsidRPr="00E1157D">
        <w:rPr>
          <w:rFonts w:ascii="Times New Roman" w:hAnsi="Times New Roman" w:cs="Times New Roman"/>
          <w:sz w:val="22"/>
          <w:szCs w:val="22"/>
        </w:rPr>
        <w:t>Bulavskaya</w:t>
      </w:r>
      <w:r>
        <w:rPr>
          <w:rFonts w:ascii="Times New Roman" w:hAnsi="Times New Roman" w:cs="Times New Roman"/>
          <w:sz w:val="22"/>
          <w:szCs w:val="22"/>
        </w:rPr>
        <w:t xml:space="preserve"> and Reynès, 2018; Lofgren and Cicowiez, 2017). Despite these methodological developments, investments in green technology and mitigation act</w:t>
      </w:r>
      <w:r w:rsidRPr="00436028">
        <w:rPr>
          <w:rFonts w:ascii="Times New Roman" w:hAnsi="Times New Roman" w:cs="Times New Roman"/>
          <w:color w:val="000000" w:themeColor="text1"/>
          <w:sz w:val="22"/>
          <w:szCs w:val="22"/>
        </w:rPr>
        <w:t xml:space="preserve">ions are still modeled using cost structures treated as known inputs. CGE employment results are sensitive to production function calibration and closure assumptions (Castellanos and Heutel, 2024; Hafstead et al., 2022). Inaccurate capital-labor shares can systematically distort production function calibration and factor substitution patterns, thereby biasing simulated labor-demand responses (Bolarinwa, 2024). Similarly, when the input cost structures of green technologies and climate investments do not reflect country-specific import dependence </w:t>
      </w:r>
      <w:r>
        <w:rPr>
          <w:rFonts w:ascii="Times New Roman" w:hAnsi="Times New Roman" w:cs="Times New Roman"/>
          <w:color w:val="000000" w:themeColor="text1"/>
          <w:sz w:val="22"/>
          <w:szCs w:val="22"/>
        </w:rPr>
        <w:t>and</w:t>
      </w:r>
      <w:r w:rsidRPr="00436028">
        <w:rPr>
          <w:rFonts w:ascii="Times New Roman" w:hAnsi="Times New Roman" w:cs="Times New Roman"/>
          <w:color w:val="000000" w:themeColor="text1"/>
          <w:sz w:val="22"/>
          <w:szCs w:val="22"/>
        </w:rPr>
        <w:t xml:space="preserve"> domestic </w:t>
      </w:r>
      <w:r>
        <w:rPr>
          <w:rFonts w:ascii="Times New Roman" w:hAnsi="Times New Roman" w:cs="Times New Roman"/>
          <w:color w:val="000000" w:themeColor="text1"/>
          <w:sz w:val="22"/>
          <w:szCs w:val="22"/>
        </w:rPr>
        <w:t>supply</w:t>
      </w:r>
      <w:r w:rsidRPr="00436028">
        <w:rPr>
          <w:rFonts w:ascii="Times New Roman" w:hAnsi="Times New Roman" w:cs="Times New Roman"/>
          <w:color w:val="000000" w:themeColor="text1"/>
          <w:sz w:val="22"/>
          <w:szCs w:val="22"/>
        </w:rPr>
        <w:t xml:space="preserve"> capacity, models may </w:t>
      </w:r>
      <w:r>
        <w:rPr>
          <w:rFonts w:ascii="Times New Roman" w:hAnsi="Times New Roman" w:cs="Times New Roman"/>
          <w:color w:val="000000" w:themeColor="text1"/>
          <w:sz w:val="22"/>
          <w:szCs w:val="22"/>
        </w:rPr>
        <w:t>mis</w:t>
      </w:r>
      <w:r w:rsidRPr="00436028">
        <w:rPr>
          <w:rFonts w:ascii="Times New Roman" w:hAnsi="Times New Roman" w:cs="Times New Roman"/>
          <w:color w:val="000000" w:themeColor="text1"/>
          <w:sz w:val="22"/>
          <w:szCs w:val="22"/>
        </w:rPr>
        <w:t xml:space="preserve">allocate demand </w:t>
      </w:r>
      <w:r>
        <w:rPr>
          <w:rFonts w:ascii="Times New Roman" w:hAnsi="Times New Roman" w:cs="Times New Roman"/>
          <w:color w:val="000000" w:themeColor="text1"/>
          <w:sz w:val="22"/>
          <w:szCs w:val="22"/>
        </w:rPr>
        <w:t>across</w:t>
      </w:r>
      <w:r w:rsidRPr="00436028">
        <w:rPr>
          <w:rFonts w:ascii="Times New Roman" w:hAnsi="Times New Roman" w:cs="Times New Roman"/>
          <w:color w:val="000000" w:themeColor="text1"/>
          <w:sz w:val="22"/>
          <w:szCs w:val="22"/>
        </w:rPr>
        <w:t xml:space="preserve"> </w:t>
      </w:r>
      <w:r>
        <w:rPr>
          <w:rFonts w:ascii="Times New Roman" w:hAnsi="Times New Roman" w:cs="Times New Roman"/>
          <w:color w:val="000000" w:themeColor="text1"/>
          <w:sz w:val="22"/>
          <w:szCs w:val="22"/>
        </w:rPr>
        <w:t>domestic</w:t>
      </w:r>
      <w:r w:rsidRPr="00436028">
        <w:rPr>
          <w:rFonts w:ascii="Times New Roman" w:hAnsi="Times New Roman" w:cs="Times New Roman"/>
          <w:color w:val="000000" w:themeColor="text1"/>
          <w:sz w:val="22"/>
          <w:szCs w:val="22"/>
        </w:rPr>
        <w:t xml:space="preserve"> industries and</w:t>
      </w:r>
      <w:r>
        <w:rPr>
          <w:rFonts w:ascii="Times New Roman" w:hAnsi="Times New Roman" w:cs="Times New Roman"/>
          <w:color w:val="000000" w:themeColor="text1"/>
          <w:sz w:val="22"/>
          <w:szCs w:val="22"/>
        </w:rPr>
        <w:t xml:space="preserve"> thereby</w:t>
      </w:r>
      <w:r w:rsidRPr="00436028">
        <w:rPr>
          <w:rFonts w:ascii="Times New Roman" w:hAnsi="Times New Roman" w:cs="Times New Roman"/>
          <w:color w:val="000000" w:themeColor="text1"/>
          <w:sz w:val="22"/>
          <w:szCs w:val="22"/>
        </w:rPr>
        <w:t xml:space="preserve"> overstate or understate employment gains. For instance, </w:t>
      </w:r>
      <w:r>
        <w:rPr>
          <w:rFonts w:ascii="Times New Roman" w:hAnsi="Times New Roman" w:cs="Times New Roman"/>
          <w:color w:val="000000" w:themeColor="text1"/>
          <w:sz w:val="22"/>
          <w:szCs w:val="22"/>
        </w:rPr>
        <w:t xml:space="preserve">in the case of </w:t>
      </w:r>
      <w:r>
        <w:rPr>
          <w:rFonts w:ascii="Times New Roman" w:hAnsi="Times New Roman" w:cs="Times New Roman"/>
          <w:sz w:val="22"/>
          <w:szCs w:val="22"/>
        </w:rPr>
        <w:t>s</w:t>
      </w:r>
      <w:r w:rsidRPr="004C0100">
        <w:rPr>
          <w:rFonts w:ascii="Times New Roman" w:hAnsi="Times New Roman" w:cs="Times New Roman"/>
          <w:sz w:val="22"/>
          <w:szCs w:val="22"/>
        </w:rPr>
        <w:t xml:space="preserve">olar </w:t>
      </w:r>
      <w:r>
        <w:rPr>
          <w:rFonts w:ascii="Times New Roman" w:hAnsi="Times New Roman" w:cs="Times New Roman"/>
          <w:sz w:val="22"/>
          <w:szCs w:val="22"/>
        </w:rPr>
        <w:t>p</w:t>
      </w:r>
      <w:r w:rsidRPr="004C0100">
        <w:rPr>
          <w:rFonts w:ascii="Times New Roman" w:hAnsi="Times New Roman" w:cs="Times New Roman"/>
          <w:sz w:val="22"/>
          <w:szCs w:val="22"/>
        </w:rPr>
        <w:t>hotovoltaic (PV)</w:t>
      </w:r>
      <w:r>
        <w:rPr>
          <w:rFonts w:ascii="Times New Roman" w:hAnsi="Times New Roman" w:cs="Times New Roman"/>
          <w:sz w:val="22"/>
          <w:szCs w:val="22"/>
        </w:rPr>
        <w:t xml:space="preserve"> deployment, domestic employment effects depend in part on the extent to which panels and electrical equipment are imported rather than produced domestically, which can shift </w:t>
      </w:r>
      <w:r w:rsidRPr="00343E9E">
        <w:rPr>
          <w:rFonts w:ascii="Times New Roman" w:hAnsi="Times New Roman" w:cs="Times New Roman"/>
          <w:sz w:val="22"/>
          <w:szCs w:val="22"/>
        </w:rPr>
        <w:t xml:space="preserve">labor demand away from manufacturing </w:t>
      </w:r>
      <w:r>
        <w:rPr>
          <w:rFonts w:ascii="Times New Roman" w:hAnsi="Times New Roman" w:cs="Times New Roman"/>
          <w:sz w:val="22"/>
          <w:szCs w:val="22"/>
        </w:rPr>
        <w:t xml:space="preserve">and </w:t>
      </w:r>
      <w:r w:rsidRPr="00343E9E">
        <w:rPr>
          <w:rFonts w:ascii="Times New Roman" w:hAnsi="Times New Roman" w:cs="Times New Roman"/>
          <w:sz w:val="22"/>
          <w:szCs w:val="22"/>
        </w:rPr>
        <w:t xml:space="preserve">toward installation, project development, maintenance, and other </w:t>
      </w:r>
      <w:r>
        <w:rPr>
          <w:rFonts w:ascii="Times New Roman" w:hAnsi="Times New Roman" w:cs="Times New Roman"/>
          <w:sz w:val="22"/>
          <w:szCs w:val="22"/>
        </w:rPr>
        <w:t>local</w:t>
      </w:r>
      <w:r w:rsidRPr="00343E9E">
        <w:rPr>
          <w:rFonts w:ascii="Times New Roman" w:hAnsi="Times New Roman" w:cs="Times New Roman"/>
          <w:sz w:val="22"/>
          <w:szCs w:val="22"/>
        </w:rPr>
        <w:t xml:space="preserve"> service activities.</w:t>
      </w:r>
    </w:p>
    <w:p w14:paraId="0B6FCC93" w14:textId="77777777" w:rsidR="00EC561A" w:rsidRPr="00232527" w:rsidRDefault="00EC561A" w:rsidP="00EC561A">
      <w:pPr>
        <w:jc w:val="both"/>
        <w:rPr>
          <w:rFonts w:ascii="Times New Roman" w:hAnsi="Times New Roman" w:cs="Times New Roman"/>
          <w:color w:val="FF0000"/>
          <w:sz w:val="22"/>
          <w:szCs w:val="22"/>
        </w:rPr>
      </w:pPr>
      <w:r w:rsidRPr="001B55EE">
        <w:rPr>
          <w:rFonts w:ascii="Times New Roman" w:hAnsi="Times New Roman" w:cs="Times New Roman"/>
          <w:sz w:val="22"/>
          <w:szCs w:val="22"/>
        </w:rPr>
        <w:t>A third strand, macro-econometric models</w:t>
      </w:r>
      <w:r>
        <w:rPr>
          <w:rFonts w:ascii="Times New Roman" w:hAnsi="Times New Roman" w:cs="Times New Roman"/>
          <w:sz w:val="22"/>
          <w:szCs w:val="22"/>
        </w:rPr>
        <w:t xml:space="preserve">, such as </w:t>
      </w:r>
      <w:r w:rsidRPr="00AF2728">
        <w:rPr>
          <w:rFonts w:ascii="Times New Roman" w:hAnsi="Times New Roman" w:cs="Times New Roman"/>
          <w:sz w:val="22"/>
          <w:szCs w:val="22"/>
        </w:rPr>
        <w:t>energy-environment-economy (3E) frameworks</w:t>
      </w:r>
      <w:r>
        <w:rPr>
          <w:rFonts w:ascii="Times New Roman" w:hAnsi="Times New Roman" w:cs="Times New Roman"/>
          <w:sz w:val="22"/>
          <w:szCs w:val="22"/>
        </w:rPr>
        <w:t xml:space="preserve"> (e.g., </w:t>
      </w:r>
      <w:r w:rsidRPr="001B55EE">
        <w:rPr>
          <w:rFonts w:ascii="Times New Roman" w:hAnsi="Times New Roman" w:cs="Times New Roman"/>
          <w:sz w:val="22"/>
          <w:szCs w:val="22"/>
        </w:rPr>
        <w:t>E3ME</w:t>
      </w:r>
      <w:r>
        <w:rPr>
          <w:rFonts w:ascii="Times New Roman" w:hAnsi="Times New Roman" w:cs="Times New Roman"/>
          <w:sz w:val="22"/>
          <w:szCs w:val="22"/>
        </w:rPr>
        <w:t xml:space="preserve">, NEMESIS), </w:t>
      </w:r>
      <w:r w:rsidRPr="001B55EE">
        <w:rPr>
          <w:rFonts w:ascii="Times New Roman" w:hAnsi="Times New Roman" w:cs="Times New Roman"/>
          <w:sz w:val="22"/>
          <w:szCs w:val="22"/>
        </w:rPr>
        <w:t>estimate dynamic adjustment from historical data</w:t>
      </w:r>
      <w:r w:rsidRPr="00DB662C">
        <w:rPr>
          <w:rFonts w:ascii="Times New Roman" w:hAnsi="Times New Roman" w:cs="Times New Roman"/>
          <w:sz w:val="22"/>
          <w:szCs w:val="22"/>
        </w:rPr>
        <w:t xml:space="preserve"> in terms of key economic variables (GDP, employment, investment</w:t>
      </w:r>
      <w:r>
        <w:rPr>
          <w:rFonts w:ascii="Times New Roman" w:hAnsi="Times New Roman" w:cs="Times New Roman"/>
          <w:sz w:val="22"/>
          <w:szCs w:val="22"/>
        </w:rPr>
        <w:t>) over time, and has been applied particularly to</w:t>
      </w:r>
      <w:r w:rsidRPr="005E1C49">
        <w:rPr>
          <w:rFonts w:ascii="Times New Roman" w:hAnsi="Times New Roman" w:cs="Times New Roman"/>
          <w:sz w:val="22"/>
          <w:szCs w:val="22"/>
        </w:rPr>
        <w:t xml:space="preserve"> economic</w:t>
      </w:r>
      <w:r>
        <w:rPr>
          <w:rFonts w:ascii="Times New Roman" w:hAnsi="Times New Roman" w:cs="Times New Roman"/>
          <w:sz w:val="22"/>
          <w:szCs w:val="22"/>
        </w:rPr>
        <w:t xml:space="preserve"> </w:t>
      </w:r>
      <w:r w:rsidRPr="005E1C49">
        <w:rPr>
          <w:rFonts w:ascii="Times New Roman" w:hAnsi="Times New Roman" w:cs="Times New Roman"/>
          <w:sz w:val="22"/>
          <w:szCs w:val="22"/>
        </w:rPr>
        <w:t>analysis of European energy and climate policy</w:t>
      </w:r>
      <w:r>
        <w:rPr>
          <w:rFonts w:ascii="Times New Roman" w:hAnsi="Times New Roman" w:cs="Times New Roman"/>
          <w:sz w:val="22"/>
          <w:szCs w:val="22"/>
        </w:rPr>
        <w:t xml:space="preserve"> (Ortega et al., 2020; Lehr and Lutz, 2019; </w:t>
      </w:r>
      <w:r w:rsidRPr="00FD29B4">
        <w:rPr>
          <w:rFonts w:ascii="Times New Roman" w:hAnsi="Times New Roman" w:cs="Times New Roman"/>
          <w:color w:val="000000" w:themeColor="text1"/>
          <w:sz w:val="22"/>
          <w:szCs w:val="22"/>
        </w:rPr>
        <w:t>Pollitt et al., 2015</w:t>
      </w:r>
      <w:r w:rsidRPr="00E9303E">
        <w:rPr>
          <w:rFonts w:ascii="Times New Roman" w:hAnsi="Times New Roman" w:cs="Times New Roman"/>
          <w:color w:val="000000" w:themeColor="text1"/>
          <w:sz w:val="22"/>
          <w:szCs w:val="22"/>
        </w:rPr>
        <w:t>)</w:t>
      </w:r>
      <w:r>
        <w:rPr>
          <w:rFonts w:ascii="Times New Roman" w:hAnsi="Times New Roman" w:cs="Times New Roman"/>
          <w:sz w:val="22"/>
          <w:szCs w:val="22"/>
        </w:rPr>
        <w:t xml:space="preserve">. Described as demand-led in the short to medium term, these models combine national accounting identities with estimated behavioral equations to assess how demand shocks – for instance, policy shocks, new investment – affect sectoral output, which feeds into the labor demand through sectoral production functions and wage-setting equations, avoiding the market clearing assumptions of standard CGE models (Cambridge </w:t>
      </w:r>
      <w:r w:rsidRPr="005E1C49">
        <w:rPr>
          <w:rFonts w:ascii="Times New Roman" w:hAnsi="Times New Roman" w:cs="Times New Roman"/>
          <w:sz w:val="22"/>
          <w:szCs w:val="22"/>
        </w:rPr>
        <w:t>Econometrics</w:t>
      </w:r>
      <w:r>
        <w:rPr>
          <w:rFonts w:ascii="Times New Roman" w:hAnsi="Times New Roman" w:cs="Times New Roman"/>
          <w:sz w:val="22"/>
          <w:szCs w:val="22"/>
        </w:rPr>
        <w:t xml:space="preserve">, 2022; </w:t>
      </w:r>
      <w:r w:rsidRPr="005E1C49">
        <w:rPr>
          <w:rFonts w:ascii="Times New Roman" w:hAnsi="Times New Roman" w:cs="Times New Roman"/>
          <w:sz w:val="22"/>
          <w:szCs w:val="22"/>
        </w:rPr>
        <w:t xml:space="preserve">Akcigit </w:t>
      </w:r>
      <w:r>
        <w:rPr>
          <w:rFonts w:ascii="Times New Roman" w:hAnsi="Times New Roman" w:cs="Times New Roman"/>
          <w:sz w:val="22"/>
          <w:szCs w:val="22"/>
        </w:rPr>
        <w:t xml:space="preserve">et al., 2022). A potential weakness is that core behavioral relationships are estimated or calibrated from historical time series data, meaning that investment-to-employment relationships may be less reliable for forward-looking policy analysis, particularly when applied to sectors whose cost and input structures are rapidly changing. Even granting that historical sector-specific interdependencies (e.g., intermediate consumption, technological transfers) are accurate representations, </w:t>
      </w:r>
      <w:r w:rsidRPr="0043035C">
        <w:rPr>
          <w:rFonts w:ascii="Times New Roman" w:hAnsi="Times New Roman" w:cs="Times New Roman"/>
          <w:sz w:val="22"/>
          <w:szCs w:val="22"/>
        </w:rPr>
        <w:t>it is reasonable to argue that if the initial demand shock</w:t>
      </w:r>
      <w:r>
        <w:rPr>
          <w:rFonts w:ascii="Times New Roman" w:hAnsi="Times New Roman" w:cs="Times New Roman"/>
          <w:sz w:val="22"/>
          <w:szCs w:val="22"/>
        </w:rPr>
        <w:t xml:space="preserve"> from</w:t>
      </w:r>
      <w:r w:rsidRPr="0043035C">
        <w:rPr>
          <w:rFonts w:ascii="Times New Roman" w:hAnsi="Times New Roman" w:cs="Times New Roman"/>
          <w:sz w:val="22"/>
          <w:szCs w:val="22"/>
        </w:rPr>
        <w:t xml:space="preserve"> climate investments</w:t>
      </w:r>
      <w:r>
        <w:rPr>
          <w:rFonts w:ascii="Times New Roman" w:hAnsi="Times New Roman" w:cs="Times New Roman"/>
          <w:sz w:val="22"/>
          <w:szCs w:val="22"/>
        </w:rPr>
        <w:t xml:space="preserve"> is mapped from an imprecise sectoral breakdown, the subsequent employment feedback will be distorted.</w:t>
      </w:r>
    </w:p>
    <w:p w14:paraId="352830BB" w14:textId="5A7BDAF5" w:rsidR="00EC561A" w:rsidRPr="00A11F5E" w:rsidRDefault="00EC561A" w:rsidP="00EC561A">
      <w:pPr>
        <w:pStyle w:val="Heading2"/>
      </w:pPr>
      <w:r w:rsidRPr="00A11F5E">
        <w:lastRenderedPageBreak/>
        <w:t xml:space="preserve">2.2 </w:t>
      </w:r>
      <w:r w:rsidR="00F1229F" w:rsidRPr="00F1229F">
        <w:t xml:space="preserve">Beyond cost structures: </w:t>
      </w:r>
      <w:r w:rsidR="00F1229F">
        <w:t>t</w:t>
      </w:r>
      <w:r w:rsidR="00F1229F" w:rsidRPr="00F1229F">
        <w:t>raceability and conditionality gaps</w:t>
      </w:r>
    </w:p>
    <w:p w14:paraId="34A1F28C" w14:textId="77777777" w:rsidR="00EC561A" w:rsidRPr="00A11F5E" w:rsidRDefault="00EC561A" w:rsidP="00EC561A">
      <w:pPr>
        <w:pStyle w:val="Heading1"/>
      </w:pPr>
      <w:r w:rsidRPr="00A11F5E">
        <w:t>3. The Analytical Framework</w:t>
      </w:r>
    </w:p>
    <w:p w14:paraId="43E2A513" w14:textId="77777777" w:rsidR="00EC561A" w:rsidRPr="00A11F5E" w:rsidRDefault="00EC561A" w:rsidP="00EC561A">
      <w:pPr>
        <w:pStyle w:val="Heading2"/>
      </w:pPr>
      <w:r w:rsidRPr="00A11F5E">
        <w:t>3.1 Overview and pipeline architecture</w:t>
      </w:r>
    </w:p>
    <w:p w14:paraId="37CAECAC" w14:textId="77777777" w:rsidR="00EC561A" w:rsidRPr="00A11F5E" w:rsidRDefault="00EC561A" w:rsidP="00EC561A">
      <w:pPr>
        <w:pStyle w:val="Heading2"/>
      </w:pPr>
      <w:r w:rsidRPr="00A11F5E">
        <w:t>3.2 Emissions pathway construction (SISEPUEDE)</w:t>
      </w:r>
    </w:p>
    <w:p w14:paraId="2B503C67" w14:textId="1C9D4C74" w:rsidR="00EC561A" w:rsidRPr="00A11F5E" w:rsidRDefault="00EC561A" w:rsidP="00790308">
      <w:pPr>
        <w:jc w:val="both"/>
        <w:rPr>
          <w:rFonts w:ascii="Times New Roman" w:hAnsi="Times New Roman" w:cs="Times New Roman"/>
        </w:rPr>
      </w:pPr>
    </w:p>
    <w:p w14:paraId="402A0C1E" w14:textId="77777777" w:rsidR="00EC561A" w:rsidRPr="00A11F5E" w:rsidRDefault="00EC561A" w:rsidP="00EC561A">
      <w:pPr>
        <w:pStyle w:val="Heading2"/>
      </w:pPr>
      <w:r w:rsidRPr="00A11F5E">
        <w:t>3.3 Cost estimation and learning curve extension</w:t>
      </w:r>
    </w:p>
    <w:p w14:paraId="68BEA775" w14:textId="598AC266" w:rsidR="00EC561A" w:rsidRPr="001B55EE" w:rsidRDefault="00EC561A" w:rsidP="00790308">
      <w:pPr>
        <w:jc w:val="both"/>
        <w:rPr>
          <w:rFonts w:ascii="Times New Roman" w:hAnsi="Times New Roman" w:cs="Times New Roman"/>
          <w:sz w:val="22"/>
          <w:szCs w:val="22"/>
        </w:rPr>
      </w:pPr>
    </w:p>
    <w:p w14:paraId="432C2D25" w14:textId="215A4F70" w:rsidR="00EC561A" w:rsidRDefault="00EC561A" w:rsidP="00790308">
      <w:pPr>
        <w:pStyle w:val="Heading2"/>
      </w:pPr>
      <w:r w:rsidRPr="00A11F5E">
        <w:t>3.4 Cost-structure translation to input-output analysis (MINDSET)</w:t>
      </w:r>
    </w:p>
    <w:p w14:paraId="62DF800C" w14:textId="77777777" w:rsidR="00F1229F" w:rsidRPr="00F1229F" w:rsidRDefault="00F1229F" w:rsidP="00F1229F"/>
    <w:p w14:paraId="10CCBB10" w14:textId="77777777" w:rsidR="00EC561A" w:rsidRPr="00A11F5E" w:rsidRDefault="00EC561A" w:rsidP="00EC561A">
      <w:pPr>
        <w:pStyle w:val="Heading2"/>
      </w:pPr>
      <w:r w:rsidRPr="00A11F5E">
        <w:t>3.5 Employment estimation</w:t>
      </w:r>
    </w:p>
    <w:p w14:paraId="0FA63953" w14:textId="4E10F752" w:rsidR="00EC561A" w:rsidRPr="001B55EE" w:rsidRDefault="00EC561A" w:rsidP="00EC561A">
      <w:pPr>
        <w:jc w:val="both"/>
        <w:rPr>
          <w:rFonts w:ascii="Times New Roman" w:hAnsi="Times New Roman" w:cs="Times New Roman"/>
          <w:sz w:val="22"/>
          <w:szCs w:val="22"/>
        </w:rPr>
      </w:pPr>
    </w:p>
    <w:p w14:paraId="76F1F10D" w14:textId="77777777" w:rsidR="00EC561A" w:rsidRPr="00A11F5E" w:rsidRDefault="00EC561A" w:rsidP="00EC561A">
      <w:pPr>
        <w:pStyle w:val="Heading2"/>
      </w:pPr>
      <w:r w:rsidRPr="00A11F5E">
        <w:t>3.6 Experimental design</w:t>
      </w:r>
    </w:p>
    <w:p w14:paraId="23445C9A" w14:textId="49D7D024" w:rsidR="00EC561A" w:rsidRPr="001B55EE" w:rsidRDefault="00EC561A" w:rsidP="00EC561A">
      <w:pPr>
        <w:jc w:val="both"/>
        <w:rPr>
          <w:rFonts w:ascii="Times New Roman" w:hAnsi="Times New Roman" w:cs="Times New Roman"/>
          <w:sz w:val="22"/>
          <w:szCs w:val="22"/>
        </w:rPr>
      </w:pPr>
    </w:p>
    <w:p w14:paraId="10A14508" w14:textId="77777777" w:rsidR="00EC561A" w:rsidRDefault="00EC561A" w:rsidP="00EC561A">
      <w:pPr>
        <w:pStyle w:val="Heading2"/>
      </w:pPr>
      <w:r w:rsidRPr="00A11F5E">
        <w:t>3.7 Scenario discovery</w:t>
      </w:r>
    </w:p>
    <w:p w14:paraId="418A273B" w14:textId="77777777" w:rsidR="00F1229F" w:rsidRPr="00F1229F" w:rsidRDefault="00F1229F" w:rsidP="00F1229F"/>
    <w:p w14:paraId="6AD39A93" w14:textId="77777777" w:rsidR="00EC561A" w:rsidRPr="00A11F5E" w:rsidRDefault="00EC561A" w:rsidP="00EC561A">
      <w:pPr>
        <w:pStyle w:val="Heading1"/>
      </w:pPr>
      <w:r w:rsidRPr="00A11F5E">
        <w:lastRenderedPageBreak/>
        <w:t>4. Country Cases: Seven World Bank CCDR Applications</w:t>
      </w:r>
    </w:p>
    <w:p w14:paraId="52DDEB84" w14:textId="77777777" w:rsidR="00EC561A" w:rsidRPr="00A11F5E" w:rsidRDefault="00EC561A" w:rsidP="00EC561A">
      <w:pPr>
        <w:pStyle w:val="Heading2"/>
      </w:pPr>
      <w:r w:rsidRPr="00A11F5E">
        <w:t>4.1 The CCDR context and why this matters</w:t>
      </w:r>
    </w:p>
    <w:p w14:paraId="011DCD91" w14:textId="77777777" w:rsidR="00EC561A" w:rsidRPr="00A11F5E" w:rsidRDefault="00EC561A" w:rsidP="00EC561A">
      <w:pPr>
        <w:pStyle w:val="Heading2"/>
      </w:pPr>
      <w:r w:rsidRPr="00A11F5E">
        <w:t>4.2 Country profiles</w:t>
      </w:r>
    </w:p>
    <w:p w14:paraId="3EF22598" w14:textId="77777777" w:rsidR="00EC561A" w:rsidRPr="00A11F5E" w:rsidRDefault="00EC561A" w:rsidP="00EC561A">
      <w:pPr>
        <w:pStyle w:val="Heading2"/>
      </w:pPr>
      <w:r w:rsidRPr="00A11F5E">
        <w:t>4.3 Data sources and calibration</w:t>
      </w:r>
    </w:p>
    <w:p w14:paraId="5E137AC6" w14:textId="77777777" w:rsidR="00EC561A" w:rsidRPr="00A11F5E" w:rsidRDefault="00EC561A" w:rsidP="00EC561A">
      <w:pPr>
        <w:pStyle w:val="Heading1"/>
      </w:pPr>
      <w:r w:rsidRPr="00A11F5E">
        <w:t>5. Results</w:t>
      </w:r>
    </w:p>
    <w:p w14:paraId="2C59D88F" w14:textId="77777777" w:rsidR="00EC561A" w:rsidRPr="00A11F5E" w:rsidRDefault="00EC561A" w:rsidP="00EC561A">
      <w:pPr>
        <w:pStyle w:val="Heading2"/>
      </w:pPr>
      <w:r w:rsidRPr="00A11F5E">
        <w:t>5.1 Transformation-level employment estimates</w:t>
      </w:r>
    </w:p>
    <w:p w14:paraId="0EF209F8" w14:textId="77777777" w:rsidR="00EC561A" w:rsidRPr="00A11F5E" w:rsidRDefault="00EC561A" w:rsidP="00EC561A">
      <w:pPr>
        <w:pStyle w:val="Heading2"/>
      </w:pPr>
      <w:r w:rsidRPr="00A11F5E">
        <w:t>5.2 The role of cost-structure assumptions</w:t>
      </w:r>
    </w:p>
    <w:p w14:paraId="6AAC7FD2" w14:textId="77777777" w:rsidR="00EC561A" w:rsidRPr="00A11F5E" w:rsidRDefault="00EC561A" w:rsidP="00EC561A">
      <w:pPr>
        <w:pStyle w:val="Heading2"/>
      </w:pPr>
      <w:r w:rsidRPr="00A11F5E">
        <w:t>5.3 Scenario discovery: conditions for positive job creation</w:t>
      </w:r>
    </w:p>
    <w:p w14:paraId="79A5FDAB" w14:textId="77777777" w:rsidR="00EC561A" w:rsidRPr="00A11F5E" w:rsidRDefault="00EC561A" w:rsidP="00EC561A">
      <w:pPr>
        <w:pStyle w:val="Heading2"/>
      </w:pPr>
      <w:r w:rsidRPr="00A11F5E">
        <w:t>5.4 Policy-relevant typology</w:t>
      </w:r>
    </w:p>
    <w:p w14:paraId="33A5A6D2" w14:textId="77777777" w:rsidR="00EC561A" w:rsidRPr="00A11F5E" w:rsidRDefault="00EC561A" w:rsidP="00EC561A">
      <w:pPr>
        <w:pStyle w:val="Heading1"/>
      </w:pPr>
      <w:r w:rsidRPr="00A11F5E">
        <w:t>6. Discussion</w:t>
      </w:r>
    </w:p>
    <w:p w14:paraId="74FD908A" w14:textId="77777777" w:rsidR="00EC561A" w:rsidRPr="00A11F5E" w:rsidRDefault="00EC561A" w:rsidP="00EC561A">
      <w:pPr>
        <w:pStyle w:val="Heading2"/>
      </w:pPr>
      <w:r w:rsidRPr="00A11F5E">
        <w:t>6.1 What cost-structure levers can governments actually influence?</w:t>
      </w:r>
    </w:p>
    <w:p w14:paraId="0F6C4601" w14:textId="77777777" w:rsidR="00EC561A" w:rsidRPr="00A11F5E" w:rsidRDefault="00EC561A" w:rsidP="00EC561A">
      <w:pPr>
        <w:pStyle w:val="Heading2"/>
      </w:pPr>
      <w:r w:rsidRPr="00A11F5E">
        <w:t>6.2 Implications for CCDR design and climate strategy</w:t>
      </w:r>
    </w:p>
    <w:p w14:paraId="2925E424" w14:textId="77777777" w:rsidR="00EC561A" w:rsidRPr="00A11F5E" w:rsidRDefault="00EC561A" w:rsidP="00EC561A">
      <w:pPr>
        <w:pStyle w:val="Heading2"/>
      </w:pPr>
      <w:r w:rsidRPr="00A11F5E">
        <w:t>6.3 Relationship to prior literature</w:t>
      </w:r>
    </w:p>
    <w:p w14:paraId="52DB74DF" w14:textId="77777777" w:rsidR="00EC561A" w:rsidRPr="00A11F5E" w:rsidRDefault="00EC561A" w:rsidP="00EC561A">
      <w:pPr>
        <w:pStyle w:val="Heading2"/>
      </w:pPr>
      <w:r w:rsidRPr="00A11F5E">
        <w:t>6.4 Limitations</w:t>
      </w:r>
    </w:p>
    <w:p w14:paraId="2E3573D7" w14:textId="77777777" w:rsidR="00EC561A" w:rsidRPr="00A11F5E" w:rsidRDefault="00EC561A" w:rsidP="00EC561A">
      <w:pPr>
        <w:pStyle w:val="Heading1"/>
      </w:pPr>
      <w:r w:rsidRPr="00A11F5E">
        <w:t>7. Conclusions</w:t>
      </w:r>
    </w:p>
    <w:p w14:paraId="21316FE9" w14:textId="77777777" w:rsidR="00EC561A" w:rsidRPr="00A11F5E" w:rsidRDefault="00EC561A" w:rsidP="00EC561A">
      <w:pPr>
        <w:pStyle w:val="Heading1"/>
      </w:pPr>
      <w:r w:rsidRPr="00A11F5E">
        <w:t>Reference</w:t>
      </w:r>
    </w:p>
    <w:p w14:paraId="009EFC70" w14:textId="77777777" w:rsidR="00EC561A" w:rsidRPr="004C1C57" w:rsidRDefault="00EC561A" w:rsidP="00EC561A">
      <w:pPr>
        <w:jc w:val="both"/>
        <w:rPr>
          <w:rFonts w:ascii="Times New Roman" w:hAnsi="Times New Roman" w:cs="Times New Roman"/>
          <w:sz w:val="22"/>
          <w:szCs w:val="22"/>
        </w:rPr>
      </w:pPr>
      <w:r w:rsidRPr="001E4BAC">
        <w:rPr>
          <w:rFonts w:ascii="Times New Roman" w:hAnsi="Times New Roman" w:cs="Times New Roman"/>
          <w:sz w:val="22"/>
          <w:szCs w:val="22"/>
        </w:rPr>
        <w:t>Agan, B., &amp; Balcilar, M. (2022). On the determinants of green technology diffusion: An empirical analysis of economic, social, political, and environmental factors. </w:t>
      </w:r>
      <w:r w:rsidRPr="001E4BAC">
        <w:rPr>
          <w:rFonts w:ascii="Times New Roman" w:hAnsi="Times New Roman" w:cs="Times New Roman"/>
          <w:i/>
          <w:iCs/>
          <w:sz w:val="22"/>
          <w:szCs w:val="22"/>
        </w:rPr>
        <w:t>Sustainability</w:t>
      </w:r>
      <w:r w:rsidRPr="001E4BAC">
        <w:rPr>
          <w:rFonts w:ascii="Times New Roman" w:hAnsi="Times New Roman" w:cs="Times New Roman"/>
          <w:sz w:val="22"/>
          <w:szCs w:val="22"/>
        </w:rPr>
        <w:t>, </w:t>
      </w:r>
      <w:r w:rsidRPr="001E4BAC">
        <w:rPr>
          <w:rFonts w:ascii="Times New Roman" w:hAnsi="Times New Roman" w:cs="Times New Roman"/>
          <w:i/>
          <w:iCs/>
          <w:sz w:val="22"/>
          <w:szCs w:val="22"/>
        </w:rPr>
        <w:t>14</w:t>
      </w:r>
      <w:r w:rsidRPr="001E4BAC">
        <w:rPr>
          <w:rFonts w:ascii="Times New Roman" w:hAnsi="Times New Roman" w:cs="Times New Roman"/>
          <w:sz w:val="22"/>
          <w:szCs w:val="22"/>
        </w:rPr>
        <w:t>(4), 2008.</w:t>
      </w:r>
    </w:p>
    <w:p w14:paraId="6E471067" w14:textId="77777777" w:rsidR="00EC561A" w:rsidRDefault="00EC561A" w:rsidP="00EC561A">
      <w:pPr>
        <w:jc w:val="both"/>
        <w:rPr>
          <w:rFonts w:ascii="Times New Roman" w:hAnsi="Times New Roman" w:cs="Times New Roman"/>
          <w:sz w:val="22"/>
          <w:szCs w:val="22"/>
        </w:rPr>
      </w:pPr>
      <w:r w:rsidRPr="004C1C57">
        <w:rPr>
          <w:rFonts w:ascii="Times New Roman" w:hAnsi="Times New Roman" w:cs="Times New Roman"/>
          <w:sz w:val="22"/>
          <w:szCs w:val="22"/>
        </w:rPr>
        <w:t>Akcigit, U., Benedetti Fasil, C., Impullitti, G., Licandro, O., &amp; Sanchez-Martinez, M. (2022). </w:t>
      </w:r>
      <w:r w:rsidRPr="005E1C49">
        <w:rPr>
          <w:rFonts w:ascii="Times New Roman" w:hAnsi="Times New Roman" w:cs="Times New Roman"/>
          <w:i/>
          <w:iCs/>
          <w:sz w:val="22"/>
          <w:szCs w:val="22"/>
        </w:rPr>
        <w:t>Macroeconomic modelling of R&amp;D and Innovation policies</w:t>
      </w:r>
      <w:r w:rsidRPr="005E1C49">
        <w:rPr>
          <w:rFonts w:ascii="Times New Roman" w:hAnsi="Times New Roman" w:cs="Times New Roman"/>
          <w:sz w:val="22"/>
          <w:szCs w:val="22"/>
        </w:rPr>
        <w:t> (p. 212). Springer Nature.</w:t>
      </w:r>
    </w:p>
    <w:p w14:paraId="374D36B5" w14:textId="77777777" w:rsidR="00EC561A" w:rsidRDefault="00EC561A" w:rsidP="00EC561A">
      <w:pPr>
        <w:jc w:val="both"/>
        <w:rPr>
          <w:rFonts w:ascii="Times New Roman" w:hAnsi="Times New Roman" w:cs="Times New Roman"/>
          <w:sz w:val="22"/>
          <w:szCs w:val="22"/>
        </w:rPr>
      </w:pPr>
      <w:r w:rsidRPr="007E3EBA">
        <w:rPr>
          <w:rFonts w:ascii="Times New Roman" w:hAnsi="Times New Roman" w:cs="Times New Roman"/>
          <w:sz w:val="22"/>
          <w:szCs w:val="22"/>
        </w:rPr>
        <w:lastRenderedPageBreak/>
        <w:t>Bakry, W., Mallik, G., Nghiem, X. H., Sinha, A., &amp; Vo, X. V. (2023). Is green finance really “green”? Examining the long-run relationship between green finance, renewable energy and environmental performance in developing countries. </w:t>
      </w:r>
      <w:r w:rsidRPr="007E3EBA">
        <w:rPr>
          <w:rFonts w:ascii="Times New Roman" w:hAnsi="Times New Roman" w:cs="Times New Roman"/>
          <w:i/>
          <w:iCs/>
          <w:sz w:val="22"/>
          <w:szCs w:val="22"/>
        </w:rPr>
        <w:t>Renewable Energy</w:t>
      </w:r>
      <w:r w:rsidRPr="007E3EBA">
        <w:rPr>
          <w:rFonts w:ascii="Times New Roman" w:hAnsi="Times New Roman" w:cs="Times New Roman"/>
          <w:sz w:val="22"/>
          <w:szCs w:val="22"/>
        </w:rPr>
        <w:t>, </w:t>
      </w:r>
      <w:r w:rsidRPr="007E3EBA">
        <w:rPr>
          <w:rFonts w:ascii="Times New Roman" w:hAnsi="Times New Roman" w:cs="Times New Roman"/>
          <w:i/>
          <w:iCs/>
          <w:sz w:val="22"/>
          <w:szCs w:val="22"/>
        </w:rPr>
        <w:t>208</w:t>
      </w:r>
      <w:r w:rsidRPr="007E3EBA">
        <w:rPr>
          <w:rFonts w:ascii="Times New Roman" w:hAnsi="Times New Roman" w:cs="Times New Roman"/>
          <w:sz w:val="22"/>
          <w:szCs w:val="22"/>
        </w:rPr>
        <w:t>, 341-355.</w:t>
      </w:r>
    </w:p>
    <w:p w14:paraId="2838835D" w14:textId="77777777" w:rsidR="00EC561A" w:rsidRDefault="00EC561A" w:rsidP="00EC561A">
      <w:pPr>
        <w:jc w:val="both"/>
        <w:rPr>
          <w:rFonts w:ascii="Times New Roman" w:hAnsi="Times New Roman" w:cs="Times New Roman"/>
          <w:sz w:val="22"/>
          <w:szCs w:val="22"/>
        </w:rPr>
      </w:pPr>
      <w:r w:rsidRPr="00FC21F8">
        <w:rPr>
          <w:rFonts w:ascii="Times New Roman" w:hAnsi="Times New Roman" w:cs="Times New Roman"/>
          <w:sz w:val="22"/>
          <w:szCs w:val="22"/>
        </w:rPr>
        <w:t>Bolarinwa, T. A. (2024). Computable General Equilibrium (CGE) Models: A comprehensive review and future directions. </w:t>
      </w:r>
      <w:r w:rsidRPr="00FC21F8">
        <w:rPr>
          <w:rFonts w:ascii="Times New Roman" w:hAnsi="Times New Roman" w:cs="Times New Roman"/>
          <w:i/>
          <w:iCs/>
          <w:sz w:val="22"/>
          <w:szCs w:val="22"/>
        </w:rPr>
        <w:t>Management and Economics Review</w:t>
      </w:r>
      <w:r w:rsidRPr="00FC21F8">
        <w:rPr>
          <w:rFonts w:ascii="Times New Roman" w:hAnsi="Times New Roman" w:cs="Times New Roman"/>
          <w:sz w:val="22"/>
          <w:szCs w:val="22"/>
        </w:rPr>
        <w:t>, </w:t>
      </w:r>
      <w:r w:rsidRPr="00FC21F8">
        <w:rPr>
          <w:rFonts w:ascii="Times New Roman" w:hAnsi="Times New Roman" w:cs="Times New Roman"/>
          <w:i/>
          <w:iCs/>
          <w:sz w:val="22"/>
          <w:szCs w:val="22"/>
        </w:rPr>
        <w:t>9</w:t>
      </w:r>
      <w:r w:rsidRPr="00FC21F8">
        <w:rPr>
          <w:rFonts w:ascii="Times New Roman" w:hAnsi="Times New Roman" w:cs="Times New Roman"/>
          <w:sz w:val="22"/>
          <w:szCs w:val="22"/>
        </w:rPr>
        <w:t>(1), 158-167.</w:t>
      </w:r>
    </w:p>
    <w:p w14:paraId="1B1456D0" w14:textId="77777777" w:rsidR="00EC561A" w:rsidRDefault="00EC561A" w:rsidP="00EC561A">
      <w:pPr>
        <w:jc w:val="both"/>
        <w:rPr>
          <w:rFonts w:ascii="Times New Roman" w:hAnsi="Times New Roman" w:cs="Times New Roman"/>
          <w:sz w:val="22"/>
          <w:szCs w:val="22"/>
        </w:rPr>
      </w:pPr>
      <w:r w:rsidRPr="002E4CE0">
        <w:rPr>
          <w:rFonts w:ascii="Times New Roman" w:hAnsi="Times New Roman" w:cs="Times New Roman"/>
          <w:sz w:val="22"/>
          <w:szCs w:val="22"/>
        </w:rPr>
        <w:t>Bücker, J., del Rio-Chanona, R. M., Pichler, A., Ives, M. C., &amp; Farmer, J. D. (2025). Employment dynamics in a rapid decarbonization of the US power sector. </w:t>
      </w:r>
      <w:r w:rsidRPr="002E4CE0">
        <w:rPr>
          <w:rFonts w:ascii="Times New Roman" w:hAnsi="Times New Roman" w:cs="Times New Roman"/>
          <w:i/>
          <w:iCs/>
          <w:sz w:val="22"/>
          <w:szCs w:val="22"/>
        </w:rPr>
        <w:t>Joule</w:t>
      </w:r>
      <w:r w:rsidRPr="002E4CE0">
        <w:rPr>
          <w:rFonts w:ascii="Times New Roman" w:hAnsi="Times New Roman" w:cs="Times New Roman"/>
          <w:sz w:val="22"/>
          <w:szCs w:val="22"/>
        </w:rPr>
        <w:t>, </w:t>
      </w:r>
      <w:r w:rsidRPr="002E4CE0">
        <w:rPr>
          <w:rFonts w:ascii="Times New Roman" w:hAnsi="Times New Roman" w:cs="Times New Roman"/>
          <w:i/>
          <w:iCs/>
          <w:sz w:val="22"/>
          <w:szCs w:val="22"/>
        </w:rPr>
        <w:t>9</w:t>
      </w:r>
      <w:r w:rsidRPr="002E4CE0">
        <w:rPr>
          <w:rFonts w:ascii="Times New Roman" w:hAnsi="Times New Roman" w:cs="Times New Roman"/>
          <w:sz w:val="22"/>
          <w:szCs w:val="22"/>
        </w:rPr>
        <w:t>(2).</w:t>
      </w:r>
    </w:p>
    <w:p w14:paraId="76531CBC" w14:textId="77777777" w:rsidR="00EC561A" w:rsidRDefault="00EC561A" w:rsidP="00EC561A">
      <w:pPr>
        <w:jc w:val="both"/>
        <w:rPr>
          <w:rFonts w:ascii="Times New Roman" w:hAnsi="Times New Roman" w:cs="Times New Roman"/>
          <w:sz w:val="22"/>
          <w:szCs w:val="22"/>
        </w:rPr>
      </w:pPr>
      <w:r w:rsidRPr="00DE76CF">
        <w:rPr>
          <w:rFonts w:ascii="Times New Roman" w:hAnsi="Times New Roman" w:cs="Times New Roman"/>
          <w:sz w:val="22"/>
          <w:szCs w:val="22"/>
        </w:rPr>
        <w:t>Bulavskaya, T., &amp; Reynès, F. (2018). Job creation and economic impact of renewable energy in the Netherlands. </w:t>
      </w:r>
      <w:r w:rsidRPr="00DE76CF">
        <w:rPr>
          <w:rFonts w:ascii="Times New Roman" w:hAnsi="Times New Roman" w:cs="Times New Roman"/>
          <w:i/>
          <w:iCs/>
          <w:sz w:val="22"/>
          <w:szCs w:val="22"/>
        </w:rPr>
        <w:t>Renewable energy</w:t>
      </w:r>
      <w:r w:rsidRPr="00DE76CF">
        <w:rPr>
          <w:rFonts w:ascii="Times New Roman" w:hAnsi="Times New Roman" w:cs="Times New Roman"/>
          <w:sz w:val="22"/>
          <w:szCs w:val="22"/>
        </w:rPr>
        <w:t>, </w:t>
      </w:r>
      <w:r w:rsidRPr="00DE76CF">
        <w:rPr>
          <w:rFonts w:ascii="Times New Roman" w:hAnsi="Times New Roman" w:cs="Times New Roman"/>
          <w:i/>
          <w:iCs/>
          <w:sz w:val="22"/>
          <w:szCs w:val="22"/>
        </w:rPr>
        <w:t>119</w:t>
      </w:r>
      <w:r w:rsidRPr="00DE76CF">
        <w:rPr>
          <w:rFonts w:ascii="Times New Roman" w:hAnsi="Times New Roman" w:cs="Times New Roman"/>
          <w:sz w:val="22"/>
          <w:szCs w:val="22"/>
        </w:rPr>
        <w:t>, 528-538.</w:t>
      </w:r>
      <w:r w:rsidRPr="002E4CE0">
        <w:rPr>
          <w:rFonts w:ascii="Times New Roman" w:hAnsi="Times New Roman" w:cs="Times New Roman"/>
          <w:sz w:val="22"/>
          <w:szCs w:val="22"/>
        </w:rPr>
        <w:t xml:space="preserve"> </w:t>
      </w:r>
    </w:p>
    <w:p w14:paraId="6D825AD2" w14:textId="77777777" w:rsidR="00EC561A" w:rsidRDefault="00EC561A" w:rsidP="00EC561A">
      <w:pPr>
        <w:jc w:val="both"/>
        <w:rPr>
          <w:rFonts w:ascii="Times New Roman" w:hAnsi="Times New Roman" w:cs="Times New Roman"/>
          <w:sz w:val="22"/>
          <w:szCs w:val="22"/>
        </w:rPr>
      </w:pPr>
      <w:r w:rsidRPr="006F27D3">
        <w:rPr>
          <w:rFonts w:ascii="Times New Roman" w:hAnsi="Times New Roman" w:cs="Times New Roman"/>
          <w:sz w:val="22"/>
          <w:szCs w:val="22"/>
        </w:rPr>
        <w:t>Castellanos, K., &amp; Heutel, G. (2024). Unemployment, labor mobility, and climate policy. </w:t>
      </w:r>
      <w:r w:rsidRPr="006F27D3">
        <w:rPr>
          <w:rFonts w:ascii="Times New Roman" w:hAnsi="Times New Roman" w:cs="Times New Roman"/>
          <w:i/>
          <w:iCs/>
          <w:sz w:val="22"/>
          <w:szCs w:val="22"/>
        </w:rPr>
        <w:t>Journal of the Association of Environmental and Resource Economists</w:t>
      </w:r>
      <w:r w:rsidRPr="006F27D3">
        <w:rPr>
          <w:rFonts w:ascii="Times New Roman" w:hAnsi="Times New Roman" w:cs="Times New Roman"/>
          <w:sz w:val="22"/>
          <w:szCs w:val="22"/>
        </w:rPr>
        <w:t>, </w:t>
      </w:r>
      <w:r w:rsidRPr="006F27D3">
        <w:rPr>
          <w:rFonts w:ascii="Times New Roman" w:hAnsi="Times New Roman" w:cs="Times New Roman"/>
          <w:i/>
          <w:iCs/>
          <w:sz w:val="22"/>
          <w:szCs w:val="22"/>
        </w:rPr>
        <w:t>11</w:t>
      </w:r>
      <w:r w:rsidRPr="006F27D3">
        <w:rPr>
          <w:rFonts w:ascii="Times New Roman" w:hAnsi="Times New Roman" w:cs="Times New Roman"/>
          <w:sz w:val="22"/>
          <w:szCs w:val="22"/>
        </w:rPr>
        <w:t>(1), 1-40.</w:t>
      </w:r>
    </w:p>
    <w:p w14:paraId="3CE31450" w14:textId="77777777" w:rsidR="00EC561A" w:rsidRDefault="00EC561A" w:rsidP="00EC561A">
      <w:pPr>
        <w:jc w:val="both"/>
        <w:rPr>
          <w:rFonts w:ascii="Times New Roman" w:hAnsi="Times New Roman" w:cs="Times New Roman"/>
          <w:sz w:val="22"/>
          <w:szCs w:val="22"/>
        </w:rPr>
      </w:pPr>
      <w:r w:rsidRPr="00606019">
        <w:rPr>
          <w:rFonts w:ascii="Times New Roman" w:hAnsi="Times New Roman" w:cs="Times New Roman"/>
          <w:sz w:val="22"/>
          <w:szCs w:val="22"/>
        </w:rPr>
        <w:t>Černý, M., Bruckner, M., Weinzettel, J., Wiebe, K., Kimmich, C., Kerschner, C., &amp; Hubacek, K. (2021). Employment effects of the renewable energy transition in the electricity sector: An input-output approach. </w:t>
      </w:r>
      <w:r w:rsidRPr="00606019">
        <w:rPr>
          <w:rFonts w:ascii="Times New Roman" w:hAnsi="Times New Roman" w:cs="Times New Roman"/>
          <w:i/>
          <w:iCs/>
          <w:sz w:val="22"/>
          <w:szCs w:val="22"/>
        </w:rPr>
        <w:t>ETUI Research Paper-Working Paper</w:t>
      </w:r>
      <w:r w:rsidRPr="00606019">
        <w:rPr>
          <w:rFonts w:ascii="Times New Roman" w:hAnsi="Times New Roman" w:cs="Times New Roman"/>
          <w:sz w:val="22"/>
          <w:szCs w:val="22"/>
        </w:rPr>
        <w:t>.</w:t>
      </w:r>
    </w:p>
    <w:p w14:paraId="6E8F1BCC" w14:textId="77777777" w:rsidR="00EC561A" w:rsidRDefault="00EC561A"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Chateau, J., Bibas, R., &amp; Lanzi, E. (2018). </w:t>
      </w:r>
      <w:r w:rsidRPr="00606A71">
        <w:rPr>
          <w:rFonts w:ascii="Times New Roman" w:hAnsi="Times New Roman" w:cs="Times New Roman"/>
          <w:sz w:val="22"/>
          <w:szCs w:val="22"/>
        </w:rPr>
        <w:t>Impacts of green growth policies on labour markets and wage income distribution: a general equilibrium application to climate and energy policies.</w:t>
      </w:r>
    </w:p>
    <w:p w14:paraId="032A600B" w14:textId="77777777" w:rsidR="00EC561A" w:rsidRPr="004C1C57" w:rsidRDefault="00EC561A" w:rsidP="00EC561A">
      <w:pPr>
        <w:jc w:val="both"/>
        <w:rPr>
          <w:rFonts w:ascii="Times New Roman" w:hAnsi="Times New Roman" w:cs="Times New Roman"/>
          <w:sz w:val="22"/>
          <w:szCs w:val="22"/>
          <w:lang w:val="pt-BR"/>
        </w:rPr>
      </w:pPr>
      <w:r w:rsidRPr="00DE76CF">
        <w:rPr>
          <w:rFonts w:ascii="Times New Roman" w:hAnsi="Times New Roman" w:cs="Times New Roman"/>
          <w:sz w:val="22"/>
          <w:szCs w:val="22"/>
          <w:lang w:val="pt-BR"/>
        </w:rPr>
        <w:t>Econometrics, C. (2022). E3me model manual. </w:t>
      </w:r>
      <w:r w:rsidRPr="004C1C57">
        <w:rPr>
          <w:rFonts w:ascii="Times New Roman" w:hAnsi="Times New Roman" w:cs="Times New Roman"/>
          <w:i/>
          <w:iCs/>
          <w:sz w:val="22"/>
          <w:szCs w:val="22"/>
          <w:lang w:val="pt-BR"/>
        </w:rPr>
        <w:t>Cambridge Econometrics: Cambridge, UK</w:t>
      </w:r>
      <w:r w:rsidRPr="004C1C57">
        <w:rPr>
          <w:rFonts w:ascii="Times New Roman" w:hAnsi="Times New Roman" w:cs="Times New Roman"/>
          <w:sz w:val="22"/>
          <w:szCs w:val="22"/>
          <w:lang w:val="pt-BR"/>
        </w:rPr>
        <w:t>.</w:t>
      </w:r>
    </w:p>
    <w:p w14:paraId="0BB32E16" w14:textId="77777777" w:rsidR="00EC561A" w:rsidRDefault="00EC561A" w:rsidP="00EC561A">
      <w:pPr>
        <w:jc w:val="both"/>
        <w:rPr>
          <w:rFonts w:ascii="Times New Roman" w:hAnsi="Times New Roman" w:cs="Times New Roman"/>
          <w:sz w:val="22"/>
          <w:szCs w:val="22"/>
        </w:rPr>
      </w:pPr>
      <w:r w:rsidRPr="004C1C57">
        <w:rPr>
          <w:rFonts w:ascii="Times New Roman" w:hAnsi="Times New Roman" w:cs="Times New Roman"/>
          <w:sz w:val="22"/>
          <w:szCs w:val="22"/>
          <w:lang w:val="pt-BR"/>
        </w:rPr>
        <w:t xml:space="preserve">Fragkos, P., &amp; Fragkiadakis, K. (2022). </w:t>
      </w:r>
      <w:r w:rsidRPr="00606A71">
        <w:rPr>
          <w:rFonts w:ascii="Times New Roman" w:hAnsi="Times New Roman" w:cs="Times New Roman"/>
          <w:sz w:val="22"/>
          <w:szCs w:val="22"/>
        </w:rPr>
        <w:t>Analyzing the macro-economic and employment implications of ambitious mitigation pathways and carbon pricing. </w:t>
      </w:r>
      <w:r w:rsidRPr="00606A71">
        <w:rPr>
          <w:rFonts w:ascii="Times New Roman" w:hAnsi="Times New Roman" w:cs="Times New Roman"/>
          <w:i/>
          <w:iCs/>
          <w:sz w:val="22"/>
          <w:szCs w:val="22"/>
        </w:rPr>
        <w:t>Frontiers in Climate</w:t>
      </w:r>
      <w:r w:rsidRPr="00606A71">
        <w:rPr>
          <w:rFonts w:ascii="Times New Roman" w:hAnsi="Times New Roman" w:cs="Times New Roman"/>
          <w:sz w:val="22"/>
          <w:szCs w:val="22"/>
        </w:rPr>
        <w:t>, </w:t>
      </w:r>
      <w:r w:rsidRPr="00606A71">
        <w:rPr>
          <w:rFonts w:ascii="Times New Roman" w:hAnsi="Times New Roman" w:cs="Times New Roman"/>
          <w:i/>
          <w:iCs/>
          <w:sz w:val="22"/>
          <w:szCs w:val="22"/>
        </w:rPr>
        <w:t>4</w:t>
      </w:r>
      <w:r w:rsidRPr="00606A71">
        <w:rPr>
          <w:rFonts w:ascii="Times New Roman" w:hAnsi="Times New Roman" w:cs="Times New Roman"/>
          <w:sz w:val="22"/>
          <w:szCs w:val="22"/>
        </w:rPr>
        <w:t>, 785136.</w:t>
      </w:r>
    </w:p>
    <w:p w14:paraId="73FBBC49" w14:textId="77777777" w:rsidR="00EC561A" w:rsidRDefault="00EC561A" w:rsidP="00EC561A">
      <w:pPr>
        <w:jc w:val="both"/>
        <w:rPr>
          <w:rFonts w:ascii="Times New Roman" w:hAnsi="Times New Roman" w:cs="Times New Roman"/>
          <w:sz w:val="22"/>
          <w:szCs w:val="22"/>
        </w:rPr>
      </w:pPr>
      <w:r w:rsidRPr="001B55EE">
        <w:rPr>
          <w:rFonts w:ascii="Times New Roman" w:hAnsi="Times New Roman" w:cs="Times New Roman"/>
          <w:sz w:val="22"/>
          <w:szCs w:val="22"/>
        </w:rPr>
        <w:t>Garrett-Peltier, H. (2017). Green versus brown: comparing the employment impacts of energy efficiency, renewable energy, and fossil fuels using an input-output model. Econ. Model. 61, 439–447. doi: 10.1016/j.econmod.2016.11.012</w:t>
      </w:r>
    </w:p>
    <w:p w14:paraId="1B73397E" w14:textId="77777777" w:rsidR="00EC561A" w:rsidRDefault="00EC561A" w:rsidP="00EC561A">
      <w:pPr>
        <w:jc w:val="both"/>
        <w:rPr>
          <w:rFonts w:ascii="Times New Roman" w:hAnsi="Times New Roman" w:cs="Times New Roman"/>
          <w:sz w:val="22"/>
          <w:szCs w:val="22"/>
        </w:rPr>
      </w:pPr>
      <w:r w:rsidRPr="00EC5B72">
        <w:rPr>
          <w:rFonts w:ascii="Times New Roman" w:hAnsi="Times New Roman" w:cs="Times New Roman"/>
          <w:sz w:val="22"/>
          <w:szCs w:val="22"/>
        </w:rPr>
        <w:t>Hafstead, M. A., Williams III, R. C., &amp; Chen, Y. (2022). Environmental policy, full-employment models, and employment: a critical analysis. </w:t>
      </w:r>
      <w:r w:rsidRPr="00EC5B72">
        <w:rPr>
          <w:rFonts w:ascii="Times New Roman" w:hAnsi="Times New Roman" w:cs="Times New Roman"/>
          <w:i/>
          <w:iCs/>
          <w:sz w:val="22"/>
          <w:szCs w:val="22"/>
        </w:rPr>
        <w:t>Journal of the Association of Environmental and Resource Economists</w:t>
      </w:r>
      <w:r w:rsidRPr="00EC5B72">
        <w:rPr>
          <w:rFonts w:ascii="Times New Roman" w:hAnsi="Times New Roman" w:cs="Times New Roman"/>
          <w:sz w:val="22"/>
          <w:szCs w:val="22"/>
        </w:rPr>
        <w:t>, </w:t>
      </w:r>
      <w:r w:rsidRPr="00EC5B72">
        <w:rPr>
          <w:rFonts w:ascii="Times New Roman" w:hAnsi="Times New Roman" w:cs="Times New Roman"/>
          <w:i/>
          <w:iCs/>
          <w:sz w:val="22"/>
          <w:szCs w:val="22"/>
        </w:rPr>
        <w:t>9</w:t>
      </w:r>
      <w:r w:rsidRPr="00EC5B72">
        <w:rPr>
          <w:rFonts w:ascii="Times New Roman" w:hAnsi="Times New Roman" w:cs="Times New Roman"/>
          <w:sz w:val="22"/>
          <w:szCs w:val="22"/>
        </w:rPr>
        <w:t>(2), 199-234.</w:t>
      </w:r>
    </w:p>
    <w:p w14:paraId="2E716094" w14:textId="77777777" w:rsidR="00EC561A" w:rsidRDefault="00EC561A" w:rsidP="00EC561A">
      <w:pPr>
        <w:jc w:val="both"/>
        <w:rPr>
          <w:rFonts w:ascii="Times New Roman" w:hAnsi="Times New Roman" w:cs="Times New Roman"/>
          <w:sz w:val="22"/>
          <w:szCs w:val="22"/>
        </w:rPr>
      </w:pPr>
      <w:r w:rsidRPr="00AB7E76">
        <w:rPr>
          <w:rFonts w:ascii="Times New Roman" w:hAnsi="Times New Roman" w:cs="Times New Roman"/>
          <w:sz w:val="22"/>
          <w:szCs w:val="22"/>
        </w:rPr>
        <w:t>Jose, S., &amp; Dollinger, J. (2019). Silvopasture: a sustainable livestock production system. </w:t>
      </w:r>
      <w:r w:rsidRPr="00AB7E76">
        <w:rPr>
          <w:rFonts w:ascii="Times New Roman" w:hAnsi="Times New Roman" w:cs="Times New Roman"/>
          <w:i/>
          <w:iCs/>
          <w:sz w:val="22"/>
          <w:szCs w:val="22"/>
        </w:rPr>
        <w:t>Agroforestry systems</w:t>
      </w:r>
      <w:r w:rsidRPr="00AB7E76">
        <w:rPr>
          <w:rFonts w:ascii="Times New Roman" w:hAnsi="Times New Roman" w:cs="Times New Roman"/>
          <w:sz w:val="22"/>
          <w:szCs w:val="22"/>
        </w:rPr>
        <w:t>, </w:t>
      </w:r>
      <w:r w:rsidRPr="00AB7E76">
        <w:rPr>
          <w:rFonts w:ascii="Times New Roman" w:hAnsi="Times New Roman" w:cs="Times New Roman"/>
          <w:i/>
          <w:iCs/>
          <w:sz w:val="22"/>
          <w:szCs w:val="22"/>
        </w:rPr>
        <w:t>93</w:t>
      </w:r>
      <w:r w:rsidRPr="00AB7E76">
        <w:rPr>
          <w:rFonts w:ascii="Times New Roman" w:hAnsi="Times New Roman" w:cs="Times New Roman"/>
          <w:sz w:val="22"/>
          <w:szCs w:val="22"/>
        </w:rPr>
        <w:t>(1), 1-9.</w:t>
      </w:r>
    </w:p>
    <w:p w14:paraId="4E92E462" w14:textId="77777777" w:rsidR="00EC561A" w:rsidRDefault="00EC561A" w:rsidP="00EC561A">
      <w:pPr>
        <w:jc w:val="both"/>
        <w:rPr>
          <w:rFonts w:ascii="Times New Roman" w:hAnsi="Times New Roman" w:cs="Times New Roman"/>
          <w:sz w:val="22"/>
          <w:szCs w:val="22"/>
        </w:rPr>
      </w:pPr>
      <w:r w:rsidRPr="00922635">
        <w:rPr>
          <w:rFonts w:ascii="Times New Roman" w:hAnsi="Times New Roman" w:cs="Times New Roman"/>
          <w:sz w:val="22"/>
          <w:szCs w:val="22"/>
        </w:rPr>
        <w:t>Lehr, U., &amp; Lutz, C. (2019). Macro-econometric and structural models. In </w:t>
      </w:r>
      <w:r w:rsidRPr="00922635">
        <w:rPr>
          <w:rFonts w:ascii="Times New Roman" w:hAnsi="Times New Roman" w:cs="Times New Roman"/>
          <w:i/>
          <w:iCs/>
          <w:sz w:val="22"/>
          <w:szCs w:val="22"/>
        </w:rPr>
        <w:t>Routledge handbook of energy economics</w:t>
      </w:r>
      <w:r w:rsidRPr="00922635">
        <w:rPr>
          <w:rFonts w:ascii="Times New Roman" w:hAnsi="Times New Roman" w:cs="Times New Roman"/>
          <w:sz w:val="22"/>
          <w:szCs w:val="22"/>
        </w:rPr>
        <w:t> (pp. 473-481). Routledge.</w:t>
      </w:r>
    </w:p>
    <w:p w14:paraId="74505C8A" w14:textId="77777777" w:rsidR="00EC561A" w:rsidRDefault="00EC561A" w:rsidP="00EC561A">
      <w:pPr>
        <w:jc w:val="both"/>
        <w:rPr>
          <w:rFonts w:ascii="Times New Roman" w:hAnsi="Times New Roman" w:cs="Times New Roman"/>
          <w:sz w:val="22"/>
          <w:szCs w:val="22"/>
        </w:rPr>
      </w:pPr>
      <w:r w:rsidRPr="00982940">
        <w:rPr>
          <w:rFonts w:ascii="Times New Roman" w:hAnsi="Times New Roman" w:cs="Times New Roman"/>
          <w:sz w:val="22"/>
          <w:szCs w:val="22"/>
        </w:rPr>
        <w:t>Miller, R. E., and Blair, P. D. (2022). Input-output analysis: Foundations and extensions.</w:t>
      </w:r>
    </w:p>
    <w:p w14:paraId="49FB0B46" w14:textId="77777777" w:rsidR="00EC561A" w:rsidRDefault="00EC561A" w:rsidP="00EC561A">
      <w:pPr>
        <w:jc w:val="both"/>
        <w:rPr>
          <w:rFonts w:ascii="Times New Roman" w:hAnsi="Times New Roman" w:cs="Times New Roman"/>
          <w:sz w:val="22"/>
          <w:szCs w:val="22"/>
        </w:rPr>
      </w:pPr>
      <w:r w:rsidRPr="002E4CE0">
        <w:rPr>
          <w:rFonts w:ascii="Times New Roman" w:hAnsi="Times New Roman" w:cs="Times New Roman"/>
          <w:sz w:val="22"/>
          <w:szCs w:val="22"/>
        </w:rPr>
        <w:t>Montt, G., Wiebe, K. S., Harsdorff, M., Simas, M., Bonnet, A., &amp; Wood, R. (2018). Does climate action destroy jobs? An assessment of the employment implications of the 2‐degree goal. </w:t>
      </w:r>
      <w:r w:rsidRPr="002E4CE0">
        <w:rPr>
          <w:rFonts w:ascii="Times New Roman" w:hAnsi="Times New Roman" w:cs="Times New Roman"/>
          <w:i/>
          <w:iCs/>
          <w:sz w:val="22"/>
          <w:szCs w:val="22"/>
        </w:rPr>
        <w:t>International Labour Review</w:t>
      </w:r>
      <w:r w:rsidRPr="002E4CE0">
        <w:rPr>
          <w:rFonts w:ascii="Times New Roman" w:hAnsi="Times New Roman" w:cs="Times New Roman"/>
          <w:sz w:val="22"/>
          <w:szCs w:val="22"/>
        </w:rPr>
        <w:t>, </w:t>
      </w:r>
      <w:r w:rsidRPr="002E4CE0">
        <w:rPr>
          <w:rFonts w:ascii="Times New Roman" w:hAnsi="Times New Roman" w:cs="Times New Roman"/>
          <w:i/>
          <w:iCs/>
          <w:sz w:val="22"/>
          <w:szCs w:val="22"/>
        </w:rPr>
        <w:t>157</w:t>
      </w:r>
      <w:r w:rsidRPr="002E4CE0">
        <w:rPr>
          <w:rFonts w:ascii="Times New Roman" w:hAnsi="Times New Roman" w:cs="Times New Roman"/>
          <w:sz w:val="22"/>
          <w:szCs w:val="22"/>
        </w:rPr>
        <w:t>(4), 519-556.</w:t>
      </w:r>
    </w:p>
    <w:p w14:paraId="3EEC610F" w14:textId="77777777" w:rsidR="00EC561A" w:rsidRDefault="00EC561A" w:rsidP="00EC561A">
      <w:pPr>
        <w:jc w:val="both"/>
        <w:rPr>
          <w:rFonts w:ascii="Times New Roman" w:hAnsi="Times New Roman" w:cs="Times New Roman"/>
          <w:sz w:val="22"/>
          <w:szCs w:val="22"/>
        </w:rPr>
      </w:pPr>
      <w:r w:rsidRPr="00DE68E1">
        <w:rPr>
          <w:rFonts w:ascii="Times New Roman" w:hAnsi="Times New Roman" w:cs="Times New Roman"/>
          <w:sz w:val="22"/>
          <w:szCs w:val="22"/>
        </w:rPr>
        <w:t>Oosterhaven, J., &amp; Hewings, G. J. (2021). Interregional input-output models. In </w:t>
      </w:r>
      <w:r w:rsidRPr="00DE68E1">
        <w:rPr>
          <w:rFonts w:ascii="Times New Roman" w:hAnsi="Times New Roman" w:cs="Times New Roman"/>
          <w:i/>
          <w:iCs/>
          <w:sz w:val="22"/>
          <w:szCs w:val="22"/>
        </w:rPr>
        <w:t>Handbook of regional science</w:t>
      </w:r>
      <w:r w:rsidRPr="00DE68E1">
        <w:rPr>
          <w:rFonts w:ascii="Times New Roman" w:hAnsi="Times New Roman" w:cs="Times New Roman"/>
          <w:sz w:val="22"/>
          <w:szCs w:val="22"/>
        </w:rPr>
        <w:t> (pp. 397-423). Berlin, Heidelberg: Springer Berlin Heidelberg.</w:t>
      </w:r>
    </w:p>
    <w:p w14:paraId="0D54541E" w14:textId="77777777" w:rsidR="00EC561A" w:rsidRDefault="00EC561A" w:rsidP="00EC561A">
      <w:pPr>
        <w:jc w:val="both"/>
        <w:rPr>
          <w:rFonts w:ascii="Times New Roman" w:hAnsi="Times New Roman" w:cs="Times New Roman"/>
          <w:sz w:val="22"/>
          <w:szCs w:val="22"/>
        </w:rPr>
      </w:pPr>
      <w:r w:rsidRPr="00875705">
        <w:rPr>
          <w:rFonts w:ascii="Times New Roman" w:hAnsi="Times New Roman" w:cs="Times New Roman"/>
          <w:sz w:val="22"/>
          <w:szCs w:val="22"/>
        </w:rPr>
        <w:lastRenderedPageBreak/>
        <w:t>Ortega M, del Río P, Ruiz P, Nijs W, Politis S. Analysing the influence of trade, technology learning and policy on the employment prospects of wind and solar energy deployment: The EU case. Renewable and Sustainable Energy Reviews. 2020 Apr 1;122:109657.</w:t>
      </w:r>
    </w:p>
    <w:p w14:paraId="772BCA4D" w14:textId="77777777" w:rsidR="00EC561A" w:rsidRDefault="00EC561A" w:rsidP="00EC561A">
      <w:pPr>
        <w:jc w:val="both"/>
        <w:rPr>
          <w:rFonts w:ascii="Times New Roman" w:hAnsi="Times New Roman" w:cs="Times New Roman"/>
          <w:sz w:val="22"/>
          <w:szCs w:val="22"/>
        </w:rPr>
      </w:pPr>
      <w:r w:rsidRPr="002E4CE0">
        <w:rPr>
          <w:rFonts w:ascii="Times New Roman" w:hAnsi="Times New Roman" w:cs="Times New Roman"/>
          <w:sz w:val="22"/>
          <w:szCs w:val="22"/>
        </w:rPr>
        <w:t>Pollin, R. (2016). Global green growth for human development. </w:t>
      </w:r>
      <w:r w:rsidRPr="002E4CE0">
        <w:rPr>
          <w:rFonts w:ascii="Times New Roman" w:hAnsi="Times New Roman" w:cs="Times New Roman"/>
          <w:i/>
          <w:iCs/>
          <w:sz w:val="22"/>
          <w:szCs w:val="22"/>
        </w:rPr>
        <w:t>UNDP Human Development Report</w:t>
      </w:r>
      <w:r w:rsidRPr="002E4CE0">
        <w:rPr>
          <w:rFonts w:ascii="Times New Roman" w:hAnsi="Times New Roman" w:cs="Times New Roman"/>
          <w:sz w:val="22"/>
          <w:szCs w:val="22"/>
        </w:rPr>
        <w:t>.</w:t>
      </w:r>
    </w:p>
    <w:p w14:paraId="65FCF025" w14:textId="77777777" w:rsidR="00EC561A" w:rsidRDefault="00EC561A" w:rsidP="00EC561A">
      <w:pPr>
        <w:jc w:val="both"/>
        <w:rPr>
          <w:rFonts w:ascii="Times New Roman" w:hAnsi="Times New Roman" w:cs="Times New Roman"/>
          <w:sz w:val="22"/>
          <w:szCs w:val="22"/>
        </w:rPr>
      </w:pPr>
      <w:r w:rsidRPr="00606A71">
        <w:rPr>
          <w:rFonts w:ascii="Times New Roman" w:hAnsi="Times New Roman" w:cs="Times New Roman"/>
          <w:sz w:val="22"/>
          <w:szCs w:val="22"/>
        </w:rPr>
        <w:t>Pollitt, H., Alexandri, E., Chewpreecha, U., &amp; Klaassen, G. (2015). Macroeconomic analysis of the employment impacts of future EU climate policies. </w:t>
      </w:r>
      <w:r w:rsidRPr="00606A71">
        <w:rPr>
          <w:rFonts w:ascii="Times New Roman" w:hAnsi="Times New Roman" w:cs="Times New Roman"/>
          <w:i/>
          <w:iCs/>
          <w:sz w:val="22"/>
          <w:szCs w:val="22"/>
        </w:rPr>
        <w:t>Climate Policy</w:t>
      </w:r>
      <w:r w:rsidRPr="00606A71">
        <w:rPr>
          <w:rFonts w:ascii="Times New Roman" w:hAnsi="Times New Roman" w:cs="Times New Roman"/>
          <w:sz w:val="22"/>
          <w:szCs w:val="22"/>
        </w:rPr>
        <w:t>, </w:t>
      </w:r>
      <w:r w:rsidRPr="00606A71">
        <w:rPr>
          <w:rFonts w:ascii="Times New Roman" w:hAnsi="Times New Roman" w:cs="Times New Roman"/>
          <w:i/>
          <w:iCs/>
          <w:sz w:val="22"/>
          <w:szCs w:val="22"/>
        </w:rPr>
        <w:t>15</w:t>
      </w:r>
      <w:r w:rsidRPr="00606A71">
        <w:rPr>
          <w:rFonts w:ascii="Times New Roman" w:hAnsi="Times New Roman" w:cs="Times New Roman"/>
          <w:sz w:val="22"/>
          <w:szCs w:val="22"/>
        </w:rPr>
        <w:t>(5), 604-625.</w:t>
      </w:r>
    </w:p>
    <w:p w14:paraId="3395A52B" w14:textId="77777777" w:rsidR="00EC561A" w:rsidRDefault="00EC561A" w:rsidP="00EC561A">
      <w:pPr>
        <w:jc w:val="both"/>
        <w:rPr>
          <w:rFonts w:ascii="Times New Roman" w:hAnsi="Times New Roman" w:cs="Times New Roman"/>
          <w:sz w:val="22"/>
          <w:szCs w:val="22"/>
        </w:rPr>
      </w:pPr>
      <w:r w:rsidRPr="007E3EBA">
        <w:rPr>
          <w:rFonts w:ascii="Times New Roman" w:hAnsi="Times New Roman" w:cs="Times New Roman"/>
          <w:sz w:val="22"/>
          <w:szCs w:val="22"/>
        </w:rPr>
        <w:t>Liu, Y., Salman, A., Khan, K., Mahmood, C. K., Ramos-Meza, C. S., Jain, V., &amp; Shabbir, M. S. (2025). The effect of green energy production, green technological innovation, green international trade, on ecological footprints. </w:t>
      </w:r>
      <w:r w:rsidRPr="007E3EBA">
        <w:rPr>
          <w:rFonts w:ascii="Times New Roman" w:hAnsi="Times New Roman" w:cs="Times New Roman"/>
          <w:i/>
          <w:iCs/>
          <w:sz w:val="22"/>
          <w:szCs w:val="22"/>
        </w:rPr>
        <w:t>Environment, Development and Sustainability</w:t>
      </w:r>
      <w:r w:rsidRPr="007E3EBA">
        <w:rPr>
          <w:rFonts w:ascii="Times New Roman" w:hAnsi="Times New Roman" w:cs="Times New Roman"/>
          <w:sz w:val="22"/>
          <w:szCs w:val="22"/>
        </w:rPr>
        <w:t>, </w:t>
      </w:r>
      <w:r w:rsidRPr="007E3EBA">
        <w:rPr>
          <w:rFonts w:ascii="Times New Roman" w:hAnsi="Times New Roman" w:cs="Times New Roman"/>
          <w:i/>
          <w:iCs/>
          <w:sz w:val="22"/>
          <w:szCs w:val="22"/>
        </w:rPr>
        <w:t>27</w:t>
      </w:r>
      <w:r w:rsidRPr="007E3EBA">
        <w:rPr>
          <w:rFonts w:ascii="Times New Roman" w:hAnsi="Times New Roman" w:cs="Times New Roman"/>
          <w:sz w:val="22"/>
          <w:szCs w:val="22"/>
        </w:rPr>
        <w:t>(9), 20985-20998.</w:t>
      </w:r>
    </w:p>
    <w:p w14:paraId="0EEE216A" w14:textId="77777777" w:rsidR="00EC561A" w:rsidRPr="004C1C57" w:rsidRDefault="00EC561A" w:rsidP="00EC561A">
      <w:pPr>
        <w:jc w:val="both"/>
        <w:rPr>
          <w:rFonts w:ascii="Times New Roman" w:hAnsi="Times New Roman" w:cs="Times New Roman"/>
          <w:sz w:val="22"/>
          <w:szCs w:val="22"/>
        </w:rPr>
      </w:pPr>
      <w:r w:rsidRPr="007E3EBA">
        <w:rPr>
          <w:rFonts w:ascii="Times New Roman" w:hAnsi="Times New Roman" w:cs="Times New Roman"/>
          <w:sz w:val="22"/>
          <w:szCs w:val="22"/>
        </w:rPr>
        <w:t>Ram, M., Aghahosseini, A., &amp; Breyer, C. (2020). Job creation during the global energy transition towards 100% renewable power system by 2050. </w:t>
      </w:r>
      <w:r w:rsidRPr="007E3EBA">
        <w:rPr>
          <w:rFonts w:ascii="Times New Roman" w:hAnsi="Times New Roman" w:cs="Times New Roman"/>
          <w:i/>
          <w:iCs/>
          <w:sz w:val="22"/>
          <w:szCs w:val="22"/>
        </w:rPr>
        <w:t>Technological Forecasting and Social Change</w:t>
      </w:r>
      <w:r w:rsidRPr="007E3EBA">
        <w:rPr>
          <w:rFonts w:ascii="Times New Roman" w:hAnsi="Times New Roman" w:cs="Times New Roman"/>
          <w:sz w:val="22"/>
          <w:szCs w:val="22"/>
        </w:rPr>
        <w:t>, </w:t>
      </w:r>
      <w:r w:rsidRPr="007E3EBA">
        <w:rPr>
          <w:rFonts w:ascii="Times New Roman" w:hAnsi="Times New Roman" w:cs="Times New Roman"/>
          <w:i/>
          <w:iCs/>
          <w:sz w:val="22"/>
          <w:szCs w:val="22"/>
        </w:rPr>
        <w:t>151</w:t>
      </w:r>
      <w:r w:rsidRPr="007E3EBA">
        <w:rPr>
          <w:rFonts w:ascii="Times New Roman" w:hAnsi="Times New Roman" w:cs="Times New Roman"/>
          <w:sz w:val="22"/>
          <w:szCs w:val="22"/>
        </w:rPr>
        <w:t>, 119682.</w:t>
      </w:r>
    </w:p>
    <w:p w14:paraId="60849B39" w14:textId="77777777" w:rsidR="00EC561A" w:rsidRDefault="00EC561A" w:rsidP="00EC561A">
      <w:pPr>
        <w:jc w:val="both"/>
        <w:rPr>
          <w:rFonts w:ascii="Times New Roman" w:hAnsi="Times New Roman" w:cs="Times New Roman"/>
          <w:sz w:val="22"/>
          <w:szCs w:val="22"/>
        </w:rPr>
      </w:pPr>
      <w:r w:rsidRPr="004C1C57">
        <w:rPr>
          <w:rFonts w:ascii="Times New Roman" w:hAnsi="Times New Roman" w:cs="Times New Roman"/>
          <w:sz w:val="22"/>
          <w:szCs w:val="22"/>
        </w:rPr>
        <w:t xml:space="preserve">San Miguel, G., Bañales, B. M., Ruiz, D., Álvarez, S., Pérez, J., &amp; Arredondo, M. T. (2024). </w:t>
      </w:r>
      <w:r w:rsidRPr="006341DA">
        <w:rPr>
          <w:rFonts w:ascii="Times New Roman" w:hAnsi="Times New Roman" w:cs="Times New Roman"/>
          <w:sz w:val="22"/>
          <w:szCs w:val="22"/>
        </w:rPr>
        <w:t>Carbon footprint and employment generation produced by ICT networks for Internet deployment: A multi-regional input-output analysis. </w:t>
      </w:r>
      <w:r w:rsidRPr="006341DA">
        <w:rPr>
          <w:rFonts w:ascii="Times New Roman" w:hAnsi="Times New Roman" w:cs="Times New Roman"/>
          <w:i/>
          <w:iCs/>
          <w:sz w:val="22"/>
          <w:szCs w:val="22"/>
        </w:rPr>
        <w:t>Science of the Total Environment</w:t>
      </w:r>
      <w:r w:rsidRPr="006341DA">
        <w:rPr>
          <w:rFonts w:ascii="Times New Roman" w:hAnsi="Times New Roman" w:cs="Times New Roman"/>
          <w:sz w:val="22"/>
          <w:szCs w:val="22"/>
        </w:rPr>
        <w:t>, </w:t>
      </w:r>
      <w:r w:rsidRPr="006341DA">
        <w:rPr>
          <w:rFonts w:ascii="Times New Roman" w:hAnsi="Times New Roman" w:cs="Times New Roman"/>
          <w:i/>
          <w:iCs/>
          <w:sz w:val="22"/>
          <w:szCs w:val="22"/>
        </w:rPr>
        <w:t>914</w:t>
      </w:r>
      <w:r w:rsidRPr="006341DA">
        <w:rPr>
          <w:rFonts w:ascii="Times New Roman" w:hAnsi="Times New Roman" w:cs="Times New Roman"/>
          <w:sz w:val="22"/>
          <w:szCs w:val="22"/>
        </w:rPr>
        <w:t>, 169776</w:t>
      </w:r>
    </w:p>
    <w:p w14:paraId="0C16BEFD" w14:textId="77777777" w:rsidR="00EC561A" w:rsidRDefault="00EC561A"/>
    <w:sectPr w:rsidR="00EC561A" w:rsidSect="00EC56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E4AFC" w14:textId="77777777" w:rsidR="00EC561A" w:rsidRDefault="00EC561A" w:rsidP="00EC561A">
      <w:pPr>
        <w:spacing w:after="0" w:line="240" w:lineRule="auto"/>
      </w:pPr>
      <w:r>
        <w:separator/>
      </w:r>
    </w:p>
  </w:endnote>
  <w:endnote w:type="continuationSeparator" w:id="0">
    <w:p w14:paraId="1B8B298B" w14:textId="77777777" w:rsidR="00EC561A" w:rsidRDefault="00EC561A" w:rsidP="00EC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CF6B2" w14:textId="77777777" w:rsidR="00EC561A" w:rsidRDefault="00EC561A" w:rsidP="00EC561A">
      <w:pPr>
        <w:spacing w:after="0" w:line="240" w:lineRule="auto"/>
      </w:pPr>
      <w:r>
        <w:separator/>
      </w:r>
    </w:p>
  </w:footnote>
  <w:footnote w:type="continuationSeparator" w:id="0">
    <w:p w14:paraId="10F99F65" w14:textId="77777777" w:rsidR="00EC561A" w:rsidRDefault="00EC561A" w:rsidP="00EC561A">
      <w:pPr>
        <w:spacing w:after="0" w:line="240" w:lineRule="auto"/>
      </w:pPr>
      <w:r>
        <w:continuationSeparator/>
      </w:r>
    </w:p>
  </w:footnote>
  <w:footnote w:id="1">
    <w:p w14:paraId="5A43D0FE" w14:textId="77777777" w:rsidR="00EC561A" w:rsidRPr="0030742D" w:rsidRDefault="00EC561A" w:rsidP="00EC561A">
      <w:pPr>
        <w:pStyle w:val="FootnoteText"/>
        <w:jc w:val="both"/>
        <w:rPr>
          <w:rFonts w:ascii="Times New Roman" w:hAnsi="Times New Roman" w:cs="Times New Roman"/>
        </w:rPr>
      </w:pPr>
      <w:r w:rsidRPr="0030742D">
        <w:rPr>
          <w:rStyle w:val="FootnoteReference"/>
          <w:rFonts w:ascii="Times New Roman" w:hAnsi="Times New Roman" w:cs="Times New Roman"/>
        </w:rPr>
        <w:footnoteRef/>
      </w:r>
      <w:r w:rsidRPr="0030742D">
        <w:rPr>
          <w:rFonts w:ascii="Times New Roman" w:hAnsi="Times New Roman" w:cs="Times New Roman"/>
        </w:rPr>
        <w:t xml:space="preserve"> </w:t>
      </w:r>
      <w:r>
        <w:rPr>
          <w:rFonts w:ascii="Times New Roman" w:hAnsi="Times New Roman" w:cs="Times New Roman"/>
        </w:rPr>
        <w:t xml:space="preserve">Grounded in national accounts and official statistics, </w:t>
      </w:r>
      <w:r w:rsidRPr="0030742D">
        <w:rPr>
          <w:rFonts w:ascii="Times New Roman" w:hAnsi="Times New Roman" w:cs="Times New Roman"/>
        </w:rPr>
        <w:t xml:space="preserve">MRIO </w:t>
      </w:r>
      <w:r>
        <w:rPr>
          <w:rFonts w:ascii="Times New Roman" w:hAnsi="Times New Roman" w:cs="Times New Roman"/>
        </w:rPr>
        <w:t xml:space="preserve">databases (e.g., GLORIA, Eora) are increasingly used for empirical analysis as they provide a time-series of high resolution on interindustry and trade linkages across global supply chains, in addition to </w:t>
      </w:r>
      <w:r w:rsidRPr="00CF0CE3">
        <w:rPr>
          <w:rFonts w:ascii="Times New Roman" w:hAnsi="Times New Roman" w:cs="Times New Roman"/>
        </w:rPr>
        <w:t>environmental</w:t>
      </w:r>
      <w:r>
        <w:rPr>
          <w:rFonts w:ascii="Times New Roman" w:hAnsi="Times New Roman" w:cs="Times New Roman"/>
        </w:rPr>
        <w:t xml:space="preserve"> </w:t>
      </w:r>
      <w:r w:rsidRPr="00CF0CE3">
        <w:rPr>
          <w:rFonts w:ascii="Times New Roman" w:hAnsi="Times New Roman" w:cs="Times New Roman"/>
        </w:rPr>
        <w:t>and socio-economic extensions</w:t>
      </w:r>
      <w:r>
        <w:rPr>
          <w:rFonts w:ascii="Times New Roman" w:hAnsi="Times New Roman" w:cs="Times New Roman"/>
        </w:rPr>
        <w:t>.</w:t>
      </w:r>
    </w:p>
  </w:footnote>
  <w:footnote w:id="2">
    <w:p w14:paraId="76B580B4" w14:textId="77777777" w:rsidR="00EC561A" w:rsidRDefault="00EC561A" w:rsidP="00EC561A">
      <w:pPr>
        <w:pStyle w:val="FootnoteText"/>
        <w:jc w:val="both"/>
      </w:pPr>
      <w:r>
        <w:rPr>
          <w:rStyle w:val="FootnoteReference"/>
        </w:rPr>
        <w:footnoteRef/>
      </w:r>
      <w:r>
        <w:t xml:space="preserve"> </w:t>
      </w:r>
      <w:r>
        <w:rPr>
          <w:rFonts w:ascii="Times New Roman" w:hAnsi="Times New Roman" w:cs="Times New Roman"/>
        </w:rPr>
        <w:t>Because</w:t>
      </w:r>
      <w:r w:rsidRPr="004C00BA">
        <w:rPr>
          <w:rFonts w:ascii="Times New Roman" w:hAnsi="Times New Roman" w:cs="Times New Roman"/>
        </w:rPr>
        <w:t xml:space="preserve"> current IO tables do not explicitly identify </w:t>
      </w:r>
      <w:r>
        <w:rPr>
          <w:rFonts w:ascii="Times New Roman" w:hAnsi="Times New Roman" w:cs="Times New Roman"/>
        </w:rPr>
        <w:t>many</w:t>
      </w:r>
      <w:r w:rsidRPr="004C00BA">
        <w:rPr>
          <w:rFonts w:ascii="Times New Roman" w:hAnsi="Times New Roman" w:cs="Times New Roman"/>
        </w:rPr>
        <w:t xml:space="preserve"> green</w:t>
      </w:r>
      <w:r>
        <w:rPr>
          <w:rFonts w:ascii="Times New Roman" w:hAnsi="Times New Roman" w:cs="Times New Roman"/>
        </w:rPr>
        <w:t xml:space="preserve"> technologies or</w:t>
      </w:r>
      <w:r w:rsidRPr="004C00BA">
        <w:rPr>
          <w:rFonts w:ascii="Times New Roman" w:hAnsi="Times New Roman" w:cs="Times New Roman"/>
        </w:rPr>
        <w:t xml:space="preserve"> </w:t>
      </w:r>
      <w:r>
        <w:rPr>
          <w:rFonts w:ascii="Times New Roman" w:hAnsi="Times New Roman" w:cs="Times New Roman"/>
        </w:rPr>
        <w:t xml:space="preserve">investment </w:t>
      </w:r>
      <w:r w:rsidRPr="004C00BA">
        <w:rPr>
          <w:rFonts w:ascii="Times New Roman" w:hAnsi="Times New Roman" w:cs="Times New Roman"/>
        </w:rPr>
        <w:t xml:space="preserve">activities, such as renewable energy industries (e.g., solar, bioenergy), methodological extensions </w:t>
      </w:r>
      <w:r>
        <w:rPr>
          <w:rFonts w:ascii="Times New Roman" w:hAnsi="Times New Roman" w:cs="Times New Roman"/>
        </w:rPr>
        <w:t xml:space="preserve">typically </w:t>
      </w:r>
      <w:r w:rsidRPr="004C00BA">
        <w:rPr>
          <w:rFonts w:ascii="Times New Roman" w:hAnsi="Times New Roman" w:cs="Times New Roman"/>
        </w:rPr>
        <w:t xml:space="preserve">estimate employment multipliers by </w:t>
      </w:r>
      <w:r>
        <w:rPr>
          <w:rFonts w:ascii="Times New Roman" w:hAnsi="Times New Roman" w:cs="Times New Roman"/>
        </w:rPr>
        <w:t>constructing</w:t>
      </w:r>
      <w:r w:rsidRPr="004C00BA">
        <w:rPr>
          <w:rFonts w:ascii="Times New Roman" w:hAnsi="Times New Roman" w:cs="Times New Roman"/>
        </w:rPr>
        <w:t xml:space="preserve"> weighted average</w:t>
      </w:r>
      <w:r>
        <w:rPr>
          <w:rFonts w:ascii="Times New Roman" w:hAnsi="Times New Roman" w:cs="Times New Roman"/>
        </w:rPr>
        <w:t>s</w:t>
      </w:r>
      <w:r w:rsidRPr="004C00BA">
        <w:rPr>
          <w:rFonts w:ascii="Times New Roman" w:hAnsi="Times New Roman" w:cs="Times New Roman"/>
        </w:rPr>
        <w:t xml:space="preserve"> of </w:t>
      </w:r>
      <w:r>
        <w:rPr>
          <w:rFonts w:ascii="Times New Roman" w:hAnsi="Times New Roman" w:cs="Times New Roman"/>
        </w:rPr>
        <w:t xml:space="preserve">existing </w:t>
      </w:r>
      <w:r w:rsidRPr="004C00BA">
        <w:rPr>
          <w:rFonts w:ascii="Times New Roman" w:hAnsi="Times New Roman" w:cs="Times New Roman"/>
        </w:rPr>
        <w:t xml:space="preserve">industries </w:t>
      </w:r>
      <w:r>
        <w:rPr>
          <w:rFonts w:ascii="Times New Roman" w:hAnsi="Times New Roman" w:cs="Times New Roman"/>
        </w:rPr>
        <w:t>represented in</w:t>
      </w:r>
      <w:r w:rsidRPr="004C00BA">
        <w:rPr>
          <w:rFonts w:ascii="Times New Roman" w:hAnsi="Times New Roman" w:cs="Times New Roman"/>
        </w:rPr>
        <w:t xml:space="preserve"> the I-O tables (Garret-Peltier, 2017; Pollin, 2016). Weights and industries involved usually rely on fixed cost structures from survey data and </w:t>
      </w:r>
      <w:r>
        <w:rPr>
          <w:rFonts w:ascii="Times New Roman" w:hAnsi="Times New Roman" w:cs="Times New Roman"/>
        </w:rPr>
        <w:t xml:space="preserve">the </w:t>
      </w:r>
      <w:r w:rsidRPr="004C00BA">
        <w:rPr>
          <w:rFonts w:ascii="Times New Roman" w:hAnsi="Times New Roman" w:cs="Times New Roman"/>
        </w:rPr>
        <w:t>climate</w:t>
      </w:r>
      <w:r>
        <w:rPr>
          <w:rFonts w:ascii="Times New Roman" w:hAnsi="Times New Roman" w:cs="Times New Roman"/>
        </w:rPr>
        <w:t>-policy</w:t>
      </w:r>
      <w:r w:rsidRPr="004C00BA">
        <w:rPr>
          <w:rFonts w:ascii="Times New Roman" w:hAnsi="Times New Roman" w:cs="Times New Roman"/>
        </w:rPr>
        <w:t xml:space="preserve"> literature.</w:t>
      </w:r>
    </w:p>
  </w:footnote>
  <w:footnote w:id="3">
    <w:p w14:paraId="2C1770D4" w14:textId="77777777" w:rsidR="00EC561A" w:rsidRPr="00397DDC" w:rsidRDefault="00EC561A" w:rsidP="00EC561A">
      <w:pPr>
        <w:pStyle w:val="FootnoteText"/>
        <w:jc w:val="both"/>
        <w:rPr>
          <w:rFonts w:ascii="Times New Roman" w:hAnsi="Times New Roman" w:cs="Times New Roman"/>
        </w:rPr>
      </w:pPr>
      <w:r>
        <w:rPr>
          <w:rStyle w:val="FootnoteReference"/>
        </w:rPr>
        <w:footnoteRef/>
      </w:r>
      <w:r>
        <w:t xml:space="preserve"> </w:t>
      </w:r>
      <w:r w:rsidRPr="00A1172A">
        <w:rPr>
          <w:rFonts w:ascii="Times New Roman" w:hAnsi="Times New Roman" w:cs="Times New Roman"/>
        </w:rPr>
        <w:t xml:space="preserve">In general, </w:t>
      </w:r>
      <w:r w:rsidRPr="00E0760B">
        <w:rPr>
          <w:rFonts w:ascii="Times New Roman" w:hAnsi="Times New Roman" w:cs="Times New Roman"/>
        </w:rPr>
        <w:t>IO model</w:t>
      </w:r>
      <w:r>
        <w:rPr>
          <w:rFonts w:ascii="Times New Roman" w:hAnsi="Times New Roman" w:cs="Times New Roman"/>
        </w:rPr>
        <w:t xml:space="preserve"> results</w:t>
      </w:r>
      <w:r w:rsidRPr="00A1172A">
        <w:rPr>
          <w:rFonts w:ascii="Times New Roman" w:hAnsi="Times New Roman" w:cs="Times New Roman"/>
        </w:rPr>
        <w:t xml:space="preserve"> </w:t>
      </w:r>
      <w:r>
        <w:rPr>
          <w:rFonts w:ascii="Times New Roman" w:hAnsi="Times New Roman" w:cs="Times New Roman"/>
        </w:rPr>
        <w:t>are</w:t>
      </w:r>
      <w:r w:rsidRPr="00A1172A">
        <w:rPr>
          <w:rFonts w:ascii="Times New Roman" w:hAnsi="Times New Roman" w:cs="Times New Roman"/>
        </w:rPr>
        <w:t xml:space="preserve"> better suited to </w:t>
      </w:r>
      <w:r>
        <w:rPr>
          <w:rFonts w:ascii="Times New Roman" w:hAnsi="Times New Roman" w:cs="Times New Roman"/>
        </w:rPr>
        <w:t>analyzing</w:t>
      </w:r>
      <w:r w:rsidRPr="00A1172A">
        <w:rPr>
          <w:rFonts w:ascii="Times New Roman" w:hAnsi="Times New Roman" w:cs="Times New Roman"/>
        </w:rPr>
        <w:t xml:space="preserve"> </w:t>
      </w:r>
      <w:r>
        <w:rPr>
          <w:rFonts w:ascii="Times New Roman" w:hAnsi="Times New Roman" w:cs="Times New Roman"/>
        </w:rPr>
        <w:t xml:space="preserve">short-term </w:t>
      </w:r>
      <w:r w:rsidRPr="00A1172A">
        <w:rPr>
          <w:rFonts w:ascii="Times New Roman" w:hAnsi="Times New Roman" w:cs="Times New Roman"/>
        </w:rPr>
        <w:t>polic</w:t>
      </w:r>
      <w:r>
        <w:rPr>
          <w:rFonts w:ascii="Times New Roman" w:hAnsi="Times New Roman" w:cs="Times New Roman"/>
        </w:rPr>
        <w:t>y impacts because these models have</w:t>
      </w:r>
      <w:r w:rsidRPr="00E0760B">
        <w:rPr>
          <w:rFonts w:ascii="Times New Roman" w:hAnsi="Times New Roman" w:cs="Times New Roman"/>
        </w:rPr>
        <w:t xml:space="preserve"> limited ability to </w:t>
      </w:r>
      <w:r>
        <w:rPr>
          <w:rFonts w:ascii="Times New Roman" w:hAnsi="Times New Roman" w:cs="Times New Roman"/>
        </w:rPr>
        <w:t>capture</w:t>
      </w:r>
      <w:r w:rsidRPr="00E0760B">
        <w:rPr>
          <w:rFonts w:ascii="Times New Roman" w:hAnsi="Times New Roman" w:cs="Times New Roman"/>
        </w:rPr>
        <w:t xml:space="preserve"> general equilibrium effects (e.g., adjusting wages,</w:t>
      </w:r>
      <w:r>
        <w:rPr>
          <w:rFonts w:ascii="Times New Roman" w:hAnsi="Times New Roman" w:cs="Times New Roman"/>
        </w:rPr>
        <w:t xml:space="preserve"> factor substitution</w:t>
      </w:r>
      <w:r w:rsidRPr="00E0760B">
        <w:rPr>
          <w:rFonts w:ascii="Times New Roman" w:hAnsi="Times New Roman" w:cs="Times New Roman"/>
        </w:rPr>
        <w:t>)</w:t>
      </w:r>
      <w:r>
        <w:rPr>
          <w:rFonts w:ascii="Times New Roman" w:hAnsi="Times New Roman" w:cs="Times New Roman"/>
        </w:rPr>
        <w:t xml:space="preserve"> and for assuming perfectly elastic labor supply, </w:t>
      </w:r>
      <w:r w:rsidRPr="00397DDC">
        <w:rPr>
          <w:rFonts w:ascii="Times New Roman" w:hAnsi="Times New Roman" w:cs="Times New Roman"/>
        </w:rPr>
        <w:t>and often rely on assumptions that become less plausible over the medium to long run</w:t>
      </w:r>
      <w:r>
        <w:rPr>
          <w:rFonts w:ascii="Times New Roman" w:hAnsi="Times New Roman" w:cs="Times New Roman"/>
        </w:rPr>
        <w:t xml:space="preserve"> </w:t>
      </w:r>
      <w:r w:rsidRPr="00E0760B">
        <w:rPr>
          <w:rFonts w:ascii="Times New Roman" w:hAnsi="Times New Roman" w:cs="Times New Roman"/>
        </w:rPr>
        <w:t>(</w:t>
      </w:r>
      <w:r>
        <w:rPr>
          <w:rFonts w:ascii="Times New Roman" w:hAnsi="Times New Roman" w:cs="Times New Roman"/>
        </w:rPr>
        <w:t>Mealy et al., 2025; Oosterhaven and Hewings, 2021</w:t>
      </w:r>
      <w:r w:rsidRPr="00E0760B">
        <w:rPr>
          <w:rFonts w:ascii="Times New Roman" w:hAnsi="Times New Roman" w:cs="Times New Roman"/>
        </w:rPr>
        <w:t>)</w:t>
      </w:r>
      <w:r>
        <w:rPr>
          <w:rFonts w:ascii="Times New Roman" w:hAnsi="Times New Roman" w:cs="Times New Roman"/>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61A"/>
    <w:rsid w:val="000C661C"/>
    <w:rsid w:val="00620380"/>
    <w:rsid w:val="00790308"/>
    <w:rsid w:val="00E2366A"/>
    <w:rsid w:val="00EC561A"/>
    <w:rsid w:val="00F122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85F48"/>
  <w15:chartTrackingRefBased/>
  <w15:docId w15:val="{F19ED1A3-FAEB-4498-AAEE-244050A3EA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561A"/>
  </w:style>
  <w:style w:type="paragraph" w:styleId="Heading1">
    <w:name w:val="heading 1"/>
    <w:basedOn w:val="Normal"/>
    <w:next w:val="Normal"/>
    <w:link w:val="Heading1Char"/>
    <w:uiPriority w:val="9"/>
    <w:qFormat/>
    <w:rsid w:val="00EC56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C56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C56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C56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C56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C56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C56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C56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C56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C56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C56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C56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C56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C56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C56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C56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C56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C561A"/>
    <w:rPr>
      <w:rFonts w:eastAsiaTheme="majorEastAsia" w:cstheme="majorBidi"/>
      <w:color w:val="272727" w:themeColor="text1" w:themeTint="D8"/>
    </w:rPr>
  </w:style>
  <w:style w:type="paragraph" w:styleId="Title">
    <w:name w:val="Title"/>
    <w:basedOn w:val="Normal"/>
    <w:next w:val="Normal"/>
    <w:link w:val="TitleChar"/>
    <w:uiPriority w:val="10"/>
    <w:qFormat/>
    <w:rsid w:val="00EC56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C56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C56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C56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C561A"/>
    <w:pPr>
      <w:spacing w:before="160"/>
      <w:jc w:val="center"/>
    </w:pPr>
    <w:rPr>
      <w:i/>
      <w:iCs/>
      <w:color w:val="404040" w:themeColor="text1" w:themeTint="BF"/>
    </w:rPr>
  </w:style>
  <w:style w:type="character" w:customStyle="1" w:styleId="QuoteChar">
    <w:name w:val="Quote Char"/>
    <w:basedOn w:val="DefaultParagraphFont"/>
    <w:link w:val="Quote"/>
    <w:uiPriority w:val="29"/>
    <w:rsid w:val="00EC561A"/>
    <w:rPr>
      <w:i/>
      <w:iCs/>
      <w:color w:val="404040" w:themeColor="text1" w:themeTint="BF"/>
    </w:rPr>
  </w:style>
  <w:style w:type="paragraph" w:styleId="ListParagraph">
    <w:name w:val="List Paragraph"/>
    <w:basedOn w:val="Normal"/>
    <w:uiPriority w:val="34"/>
    <w:qFormat/>
    <w:rsid w:val="00EC561A"/>
    <w:pPr>
      <w:ind w:left="720"/>
      <w:contextualSpacing/>
    </w:pPr>
  </w:style>
  <w:style w:type="character" w:styleId="IntenseEmphasis">
    <w:name w:val="Intense Emphasis"/>
    <w:basedOn w:val="DefaultParagraphFont"/>
    <w:uiPriority w:val="21"/>
    <w:qFormat/>
    <w:rsid w:val="00EC561A"/>
    <w:rPr>
      <w:i/>
      <w:iCs/>
      <w:color w:val="0F4761" w:themeColor="accent1" w:themeShade="BF"/>
    </w:rPr>
  </w:style>
  <w:style w:type="paragraph" w:styleId="IntenseQuote">
    <w:name w:val="Intense Quote"/>
    <w:basedOn w:val="Normal"/>
    <w:next w:val="Normal"/>
    <w:link w:val="IntenseQuoteChar"/>
    <w:uiPriority w:val="30"/>
    <w:qFormat/>
    <w:rsid w:val="00EC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C561A"/>
    <w:rPr>
      <w:i/>
      <w:iCs/>
      <w:color w:val="0F4761" w:themeColor="accent1" w:themeShade="BF"/>
    </w:rPr>
  </w:style>
  <w:style w:type="character" w:styleId="IntenseReference">
    <w:name w:val="Intense Reference"/>
    <w:basedOn w:val="DefaultParagraphFont"/>
    <w:uiPriority w:val="32"/>
    <w:qFormat/>
    <w:rsid w:val="00EC561A"/>
    <w:rPr>
      <w:b/>
      <w:bCs/>
      <w:smallCaps/>
      <w:color w:val="0F4761" w:themeColor="accent1" w:themeShade="BF"/>
      <w:spacing w:val="5"/>
    </w:rPr>
  </w:style>
  <w:style w:type="paragraph" w:styleId="FootnoteText">
    <w:name w:val="footnote text"/>
    <w:basedOn w:val="Normal"/>
    <w:link w:val="FootnoteTextChar"/>
    <w:uiPriority w:val="99"/>
    <w:unhideWhenUsed/>
    <w:rsid w:val="00EC561A"/>
    <w:pPr>
      <w:spacing w:after="0" w:line="240" w:lineRule="auto"/>
    </w:pPr>
    <w:rPr>
      <w:sz w:val="20"/>
      <w:szCs w:val="20"/>
    </w:rPr>
  </w:style>
  <w:style w:type="character" w:customStyle="1" w:styleId="FootnoteTextChar">
    <w:name w:val="Footnote Text Char"/>
    <w:basedOn w:val="DefaultParagraphFont"/>
    <w:link w:val="FootnoteText"/>
    <w:uiPriority w:val="99"/>
    <w:rsid w:val="00EC561A"/>
    <w:rPr>
      <w:sz w:val="20"/>
      <w:szCs w:val="20"/>
    </w:rPr>
  </w:style>
  <w:style w:type="character" w:styleId="FootnoteReference">
    <w:name w:val="footnote reference"/>
    <w:basedOn w:val="DefaultParagraphFont"/>
    <w:uiPriority w:val="99"/>
    <w:semiHidden/>
    <w:unhideWhenUsed/>
    <w:rsid w:val="00EC561A"/>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78975c20-18d4-40c9-811f-0d8ea387c6ea}" enabled="0" method="" siteId="{78975c20-18d4-40c9-811f-0d8ea387c6ea}" removed="1"/>
</clbl:labelList>
</file>

<file path=docProps/app.xml><?xml version="1.0" encoding="utf-8"?>
<Properties xmlns="http://schemas.openxmlformats.org/officeDocument/2006/extended-properties" xmlns:vt="http://schemas.openxmlformats.org/officeDocument/2006/docPropsVTypes">
  <Template>Normal</Template>
  <TotalTime>74</TotalTime>
  <Pages>6</Pages>
  <Words>1553</Words>
  <Characters>9646</Characters>
  <Application>Microsoft Office Word</Application>
  <DocSecurity>0</DocSecurity>
  <Lines>141</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Esteves</dc:creator>
  <cp:keywords/>
  <dc:description/>
  <cp:lastModifiedBy>Fernando Esteves</cp:lastModifiedBy>
  <cp:revision>4</cp:revision>
  <dcterms:created xsi:type="dcterms:W3CDTF">2026-05-12T00:24:00Z</dcterms:created>
  <dcterms:modified xsi:type="dcterms:W3CDTF">2026-05-12T01:38:00Z</dcterms:modified>
</cp:coreProperties>
</file>