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SIGLAS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0"/>
        <w:gridCol w:w="1950"/>
        <w:tblGridChange w:id="0">
          <w:tblGrid>
            <w:gridCol w:w="70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Admisión(HCR)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Enfermería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Obstetricia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5460"/>
        <w:tblGridChange w:id="0">
          <w:tblGrid>
            <w:gridCol w:w="354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TÉRMINOS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FINALIZAR ATENCIÓN MÉDICA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CUNADO EL PROFESIONAL DECIDE DAR DE ALTA AL PACIENTE DE LA GUARDIA SUS POSIBLES DESTINOS SON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hospitalaria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Voluntaria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Derivación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Defunción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Fuga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zdOErYXmSh+uLv/yCKXEDu5Rw==">CgMxLjA4AHIhMVpQaVRzME1DTWVuSTNiUWg5d000V2FFODhsSTg4T1J4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