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6B7EA31">
      <w:pPr>
        <w:pStyle w:val="89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Propuesta para la Creación del Sistema Provincial Integrado de Guardias Médicas y Coordinación de Ambulancias (SIGMA-NQN)</w:t>
      </w:r>
      <w:r/>
    </w:p>
    <w:p w14:paraId="3C48A78D">
      <w:pPr>
        <w:pStyle w:val="89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Hacia una respuesta unificada, eficiente y equitativa en la Provincia del Neuquén</w:t>
      </w:r>
      <w:r/>
    </w:p>
    <w:p w14:paraId="4161AC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Destinatario:</w:t>
      </w:r>
      <w:r>
        <w:rPr>
          <w:rFonts w:ascii="Times New Roman" w:hAnsi="Times New Roman" w:eastAsia="Times New Roman" w:cs="Times New Roman"/>
          <w:color w:val="000000"/>
          <w:sz w:val="24"/>
        </w:rPr>
        <w:t xml:space="preserve"> Sr. Ministro de Salud de la Provincia del Neuquén, </w:t>
      </w:r>
      <w:r>
        <w:rPr>
          <w:rFonts w:ascii="Times New Roman" w:hAnsi="Times New Roman" w:eastAsia="Times New Roman" w:cs="Times New Roman"/>
          <w:b/>
          <w:color w:val="000000"/>
          <w:sz w:val="24"/>
        </w:rPr>
        <w:t xml:space="preserve">Dr. Martín Regueiro</w:t>
        <w:br/>
        <w:t xml:space="preserve">Institución:</w:t>
      </w:r>
      <w:r>
        <w:rPr>
          <w:rFonts w:ascii="Times New Roman" w:hAnsi="Times New Roman" w:eastAsia="Times New Roman" w:cs="Times New Roman"/>
          <w:color w:val="000000"/>
          <w:sz w:val="24"/>
        </w:rPr>
        <w:t xml:space="preserve"> Ministerio de Salud – Provincia del Neuquén</w:t>
        <w:br/>
      </w:r>
      <w:r>
        <w:rPr>
          <w:rFonts w:ascii="Times New Roman" w:hAnsi="Times New Roman" w:eastAsia="Times New Roman" w:cs="Times New Roman"/>
          <w:b/>
          <w:color w:val="000000"/>
          <w:sz w:val="24"/>
        </w:rPr>
        <w:t xml:space="preserve">Fecha:</w:t>
      </w:r>
      <w:r>
        <w:rPr>
          <w:rFonts w:ascii="Times New Roman" w:hAnsi="Times New Roman" w:eastAsia="Times New Roman" w:cs="Times New Roman"/>
          <w:color w:val="000000"/>
          <w:sz w:val="24"/>
        </w:rPr>
        <w:t xml:space="preserve"> Enero de 2026</w:t>
        <w:br/>
      </w:r>
      <w:r>
        <w:rPr>
          <w:rFonts w:ascii="Times New Roman" w:hAnsi="Times New Roman" w:eastAsia="Times New Roman" w:cs="Times New Roman"/>
          <w:b/>
          <w:color w:val="000000"/>
          <w:sz w:val="24"/>
        </w:rPr>
        <w:t xml:space="preserve">Versión:</w:t>
      </w:r>
      <w:r>
        <w:rPr>
          <w:rFonts w:ascii="Times New Roman" w:hAnsi="Times New Roman" w:eastAsia="Times New Roman" w:cs="Times New Roman"/>
          <w:color w:val="000000"/>
          <w:sz w:val="24"/>
        </w:rPr>
        <w:t xml:space="preserve"> 1.0</w:t>
      </w:r>
      <w:r/>
    </w:p>
    <w:p w14:paraId="287549AA">
      <w:pPr>
        <w:pStyle w:val="89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Resumen Ejecutivo</w:t>
      </w:r>
      <w:r/>
    </w:p>
    <w:p w14:paraId="20A387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Provincia del Neuquén enfrenta hoy un desafío estratégico en la gestión de las urgencias y emergencias médicas: la coexistencia de múltiples modelos operativos, criterios clínicos heterogéneos y sistemas de información no integrados que limitan la capac</w:t>
      </w:r>
      <w:r>
        <w:rPr>
          <w:rFonts w:ascii="Times New Roman" w:hAnsi="Times New Roman" w:eastAsia="Times New Roman" w:cs="Times New Roman"/>
          <w:color w:val="000000"/>
          <w:sz w:val="24"/>
        </w:rPr>
        <w:t xml:space="preserve">idad del Estado provincial para garantizar una respuesta oportuna, equitativa y segura en todo el territorio.</w:t>
      </w:r>
      <w:r/>
    </w:p>
    <w:p w14:paraId="16B9C6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fragmentación actual del sistema —resultado de procesos históricos de descentralización, crecimiento territorial y soluciones locales no coordinadas— genera ineficiencias operativas, variabilidad clínica injustificada y una pérdida objetiva de capacidad</w:t>
      </w:r>
      <w:r>
        <w:rPr>
          <w:rFonts w:ascii="Times New Roman" w:hAnsi="Times New Roman" w:eastAsia="Times New Roman" w:cs="Times New Roman"/>
          <w:color w:val="000000"/>
          <w:sz w:val="24"/>
        </w:rPr>
        <w:t xml:space="preserve"> de rectoría por parte del Ministerio de Salud, particularmente en eventos críticos que requieren coordinación interjurisdiccional, priorización basada en riesgo y asignación estratégica de recursos escasos.</w:t>
      </w:r>
      <w:r/>
    </w:p>
    <w:p w14:paraId="504359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este contexto, se propone la creación del </w:t>
      </w:r>
      <w:r>
        <w:rPr>
          <w:rFonts w:ascii="Times New Roman" w:hAnsi="Times New Roman" w:eastAsia="Times New Roman" w:cs="Times New Roman"/>
          <w:b/>
          <w:color w:val="000000"/>
          <w:sz w:val="24"/>
        </w:rPr>
        <w:t xml:space="preserve">Sistema Provincial Integrado de Guardias Médicas y Coordinación de Ambulancias (SIGMA-NQN)</w:t>
      </w:r>
      <w:r>
        <w:rPr>
          <w:rFonts w:ascii="Times New Roman" w:hAnsi="Times New Roman" w:eastAsia="Times New Roman" w:cs="Times New Roman"/>
          <w:color w:val="000000"/>
          <w:sz w:val="24"/>
        </w:rPr>
        <w:t xml:space="preserve"> como una </w:t>
      </w:r>
      <w:r>
        <w:rPr>
          <w:rFonts w:ascii="Times New Roman" w:hAnsi="Times New Roman" w:eastAsia="Times New Roman" w:cs="Times New Roman"/>
          <w:b/>
          <w:color w:val="000000"/>
          <w:sz w:val="24"/>
        </w:rPr>
        <w:t xml:space="preserve">política pública estructural</w:t>
      </w:r>
      <w:r>
        <w:rPr>
          <w:rFonts w:ascii="Times New Roman" w:hAnsi="Times New Roman" w:eastAsia="Times New Roman" w:cs="Times New Roman"/>
          <w:color w:val="000000"/>
          <w:sz w:val="24"/>
        </w:rPr>
        <w:t xml:space="preserve">, de alcance provincial, orientada a consolidar al Ministerio de Salud como </w:t>
      </w:r>
      <w:r>
        <w:rPr>
          <w:rFonts w:ascii="Times New Roman" w:hAnsi="Times New Roman" w:eastAsia="Times New Roman" w:cs="Times New Roman"/>
          <w:b/>
          <w:color w:val="000000"/>
          <w:sz w:val="24"/>
        </w:rPr>
        <w:t xml:space="preserve">autoridad rectora efectiva</w:t>
      </w:r>
      <w:r>
        <w:rPr>
          <w:rFonts w:ascii="Times New Roman" w:hAnsi="Times New Roman" w:eastAsia="Times New Roman" w:cs="Times New Roman"/>
          <w:color w:val="000000"/>
          <w:sz w:val="24"/>
        </w:rPr>
        <w:t xml:space="preserve"> de la respuesta a emergencias médicas, articulando la red pública de salud, los servicios prehospitalarios, los sistemas de seguridad y los gobiernos locales.</w:t>
      </w:r>
      <w:r/>
    </w:p>
    <w:p w14:paraId="20027E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SIGMA-NQN se sustenta en tres ejes estratégicos: la unificación de criterios clínicos y operativos, la interoperabilidad tecnológica centralizada sin reemplazo de sistemas existentes, y la creación de un </w:t>
      </w:r>
      <w:r>
        <w:rPr>
          <w:rFonts w:ascii="Times New Roman" w:hAnsi="Times New Roman" w:eastAsia="Times New Roman" w:cs="Times New Roman"/>
          <w:b/>
          <w:color w:val="000000"/>
          <w:sz w:val="24"/>
        </w:rPr>
        <w:t xml:space="preserve">Centro de Coordinación Operativa Provincial (CCO)</w:t>
      </w:r>
      <w:r>
        <w:rPr>
          <w:rFonts w:ascii="Times New Roman" w:hAnsi="Times New Roman" w:eastAsia="Times New Roman" w:cs="Times New Roman"/>
          <w:color w:val="000000"/>
          <w:sz w:val="24"/>
        </w:rPr>
        <w:t xml:space="preserve"> con sede en la ciudad de Neuquén, capaz de brindar visibilidad en tiempo real, coordinación táctica y soporte a la toma de decisiones estratégicas.</w:t>
      </w:r>
      <w:r/>
    </w:p>
    <w:p w14:paraId="2A5253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presente propuesta solicita la aprobación ministerial para iniciar una </w:t>
      </w:r>
      <w:r>
        <w:rPr>
          <w:rFonts w:ascii="Times New Roman" w:hAnsi="Times New Roman" w:eastAsia="Times New Roman" w:cs="Times New Roman"/>
          <w:b/>
          <w:color w:val="000000"/>
          <w:sz w:val="24"/>
        </w:rPr>
        <w:t xml:space="preserve">Fase 1 de Diseño Detallado y Pilotaje</w:t>
      </w:r>
      <w:r>
        <w:rPr>
          <w:rFonts w:ascii="Times New Roman" w:hAnsi="Times New Roman" w:eastAsia="Times New Roman" w:cs="Times New Roman"/>
          <w:color w:val="000000"/>
          <w:sz w:val="24"/>
        </w:rPr>
        <w:t xml:space="preserve">, acompañada por la creación de una </w:t>
      </w:r>
      <w:r>
        <w:rPr>
          <w:rFonts w:ascii="Times New Roman" w:hAnsi="Times New Roman" w:eastAsia="Times New Roman" w:cs="Times New Roman"/>
          <w:b/>
          <w:color w:val="000000"/>
          <w:sz w:val="24"/>
        </w:rPr>
        <w:t xml:space="preserve">Unidad Ejecutora específica</w:t>
      </w:r>
      <w:r>
        <w:rPr>
          <w:rFonts w:ascii="Times New Roman" w:hAnsi="Times New Roman" w:eastAsia="Times New Roman" w:cs="Times New Roman"/>
          <w:color w:val="000000"/>
          <w:sz w:val="24"/>
        </w:rPr>
        <w:t xml:space="preserve">, como paso indispensable para avanzar hacia un sistema integrado, gobernable y sostenible.</w:t>
      </w:r>
      <w:r/>
    </w:p>
    <w:p w14:paraId="06C1FA19">
      <w:pPr>
        <w:pStyle w:val="89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Introducción y Antecedentes Críticos</w:t>
      </w:r>
      <w:r/>
    </w:p>
    <w:p w14:paraId="393FAF2B">
      <w:pPr>
        <w:pStyle w:val="89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2.1 Panorama actual</w:t>
      </w:r>
      <w:r/>
    </w:p>
    <w:p w14:paraId="1CD18D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sistema de atención de urgencias y emergencias de la Provincia del Neuquén se desarrolla en un territorio extenso, con fuertes asimetrías geográficas, demográficas y de accesibilidad, organizado en regiones sanitarias con distintos niveles de complejida</w:t>
      </w:r>
      <w:r>
        <w:rPr>
          <w:rFonts w:ascii="Times New Roman" w:hAnsi="Times New Roman" w:eastAsia="Times New Roman" w:cs="Times New Roman"/>
          <w:color w:val="000000"/>
          <w:sz w:val="24"/>
        </w:rPr>
        <w:t xml:space="preserve">d y capacidad resolutiva.</w:t>
      </w:r>
      <w:r/>
    </w:p>
    <w:p w14:paraId="2FD071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este marco, la red pública provincial, los servicios municipales de ambulancias, los hospitales de referencia, los centros periféricos y los dispositivos de seguridad (incluyendo el sistema 911) operan con distintos grados de articulación, sin un modelo</w:t>
      </w:r>
      <w:r>
        <w:rPr>
          <w:rFonts w:ascii="Times New Roman" w:hAnsi="Times New Roman" w:eastAsia="Times New Roman" w:cs="Times New Roman"/>
          <w:color w:val="000000"/>
          <w:sz w:val="24"/>
        </w:rPr>
        <w:t xml:space="preserve"> provincial único de coordinación en tiempo real.</w:t>
      </w:r>
      <w:r/>
    </w:p>
    <w:p w14:paraId="7875D3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ausencia de un sistema integrado de alcance provincial impide al Ministerio contar con una visión consolidada del funcionamiento de las guardias, la disponibilidad de ambulancias, la demanda asistencial y los flujos de derivación interhospitalaria, limi</w:t>
      </w:r>
      <w:r>
        <w:rPr>
          <w:rFonts w:ascii="Times New Roman" w:hAnsi="Times New Roman" w:eastAsia="Times New Roman" w:cs="Times New Roman"/>
          <w:color w:val="000000"/>
          <w:sz w:val="24"/>
        </w:rPr>
        <w:t xml:space="preserve">tando la capacidad de planificación, monitoreo y respuesta ante contingencias sanitarias mayores.</w:t>
      </w:r>
      <w:r/>
    </w:p>
    <w:p w14:paraId="77175741">
      <w:pPr>
        <w:pStyle w:val="89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2.2 Problemática desde tres dimensiones</w:t>
      </w:r>
      <w:r/>
    </w:p>
    <w:p w14:paraId="17B59F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Dimensión clínica</w:t>
        <w:br/>
      </w:r>
      <w:r>
        <w:rPr>
          <w:rFonts w:ascii="Times New Roman" w:hAnsi="Times New Roman" w:eastAsia="Times New Roman" w:cs="Times New Roman"/>
          <w:color w:val="000000"/>
          <w:sz w:val="24"/>
        </w:rPr>
        <w:t xml:space="preserve">La ausencia de protocolos provinciales únicos de triage y derivación genera variabilidad en la toma de decisiones clínicas iniciales, con impacto en la seguridad del paciente y en la equidad del acceso a cuidados oportunos.</w:t>
      </w:r>
      <w:r/>
    </w:p>
    <w:p w14:paraId="3C1EC8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Dimensión operativa</w:t>
        <w:br/>
      </w:r>
      <w:r>
        <w:rPr>
          <w:rFonts w:ascii="Times New Roman" w:hAnsi="Times New Roman" w:eastAsia="Times New Roman" w:cs="Times New Roman"/>
          <w:color w:val="000000"/>
          <w:sz w:val="24"/>
        </w:rPr>
        <w:t xml:space="preserve">La coordinación de ambulancias y derivaciones interhospitalarias depende en gran medida de contactos informales, llamados telefónicos y decisiones locales, lo que dificulta la priorización basada en criterios objetivos y la visión integral del sistema.</w:t>
      </w:r>
      <w:r/>
    </w:p>
    <w:p w14:paraId="2CDC2B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Dimensión tecnológica</w:t>
        <w:br/>
      </w:r>
      <w:r>
        <w:rPr>
          <w:rFonts w:ascii="Times New Roman" w:hAnsi="Times New Roman" w:eastAsia="Times New Roman" w:cs="Times New Roman"/>
          <w:color w:val="000000"/>
          <w:sz w:val="24"/>
        </w:rPr>
        <w:t xml:space="preserve">Los sistemas existentes funcionan como “islas de información”. No existe una capa provincial que integre datos en tiempo real sobre demanda, disponibilidad de recursos y capacidad resolutiva, limitando la gestión estratégica y operativa del Ministerio.</w:t>
      </w:r>
      <w:r/>
    </w:p>
    <w:p w14:paraId="04908828">
      <w:pPr>
        <w:pStyle w:val="89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2.3 Riesgos asociados</w:t>
      </w:r>
      <w:r/>
    </w:p>
    <w:p w14:paraId="5C0DEC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escenario incrementa el riesgo de demoras en la atención, traslados inadecuados, saturación evitable de guardias y una pérdida de capacidad del nivel central para monitorear, planificar y mejorar el sistema de emergencias médicas.</w:t>
      </w:r>
      <w:r/>
    </w:p>
    <w:p w14:paraId="608CE370">
      <w:pPr>
        <w:pStyle w:val="89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Propuesta: Sistema SIGMA-NQN</w:t>
      </w:r>
      <w:r/>
    </w:p>
    <w:p w14:paraId="7EDB8D84">
      <w:pPr>
        <w:pStyle w:val="89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3.1 Visión</w:t>
      </w:r>
      <w:r/>
    </w:p>
    <w:p w14:paraId="72D757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Consolidar un </w:t>
      </w:r>
      <w:r>
        <w:rPr>
          <w:rFonts w:ascii="Times New Roman" w:hAnsi="Times New Roman" w:eastAsia="Times New Roman" w:cs="Times New Roman"/>
          <w:b/>
          <w:color w:val="000000"/>
          <w:sz w:val="24"/>
        </w:rPr>
        <w:t xml:space="preserve">sistema provincial integrado de respuesta a emergencias médicas</w:t>
      </w:r>
      <w:r>
        <w:rPr>
          <w:rFonts w:ascii="Times New Roman" w:hAnsi="Times New Roman" w:eastAsia="Times New Roman" w:cs="Times New Roman"/>
          <w:color w:val="000000"/>
          <w:sz w:val="24"/>
        </w:rPr>
        <w:t xml:space="preserve">, centrado en el paciente, con criterios clínicos unificados, coordinación operativa eficiente e interoperabilidad tecnológica, bajo la rectoría efectiva del Ministerio de Salud.</w:t>
      </w:r>
      <w:r/>
    </w:p>
    <w:p w14:paraId="057A0512">
      <w:pPr>
        <w:pStyle w:val="89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3.2 Objetivos</w:t>
      </w:r>
      <w:r/>
    </w:p>
    <w:p w14:paraId="1A63C1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Objetivo general</w:t>
        <w:br/>
      </w:r>
      <w:r>
        <w:rPr>
          <w:rFonts w:ascii="Times New Roman" w:hAnsi="Times New Roman" w:eastAsia="Times New Roman" w:cs="Times New Roman"/>
          <w:color w:val="000000"/>
          <w:sz w:val="24"/>
        </w:rPr>
        <w:t xml:space="preserve">Fortalecer la capacidad de respuesta del sistema de salud provincial ante urgencias y emergencias médicas mediante la integración clínica, operativa y tecnológica de las guardias y los servicios de traslado.</w:t>
      </w:r>
      <w:r/>
    </w:p>
    <w:p w14:paraId="1B9C52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Objetivos específicos</w:t>
      </w:r>
      <w:r/>
    </w:p>
    <w:p w14:paraId="05616209">
      <w:pPr>
        <w:pStyle w:val="95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Unificar criterios provinciales de triage y derivación.</w:t>
      </w:r>
      <w:r/>
    </w:p>
    <w:p w14:paraId="3E5F11E1">
      <w:pPr>
        <w:pStyle w:val="95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Optimizar la asignación y utilización de ambulancias.</w:t>
      </w:r>
      <w:r/>
    </w:p>
    <w:p w14:paraId="323AEA8F">
      <w:pPr>
        <w:pStyle w:val="95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Integrar sistemas de información existentes a través de una plataforma común.</w:t>
      </w:r>
      <w:r/>
    </w:p>
    <w:p w14:paraId="1635A934">
      <w:pPr>
        <w:pStyle w:val="95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Mejorar los tiempos de respuesta y la trazabilidad de los eventos.</w:t>
      </w:r>
      <w:r/>
    </w:p>
    <w:p w14:paraId="7227B3AC">
      <w:pPr>
        <w:pStyle w:val="95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Fortalecer la capacidad de monitoreo y toma de decisiones del Ministerio.</w:t>
      </w:r>
      <w:r/>
    </w:p>
    <w:p w14:paraId="1D36C3F2">
      <w:pPr>
        <w:pStyle w:val="89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Pilares del SIGMA-NQN</w:t>
      </w:r>
      <w:r/>
    </w:p>
    <w:p w14:paraId="2369EA98">
      <w:pPr>
        <w:pStyle w:val="89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4.1 Pilar 1: Unificación de Criterios y Protocolos</w:t>
      </w:r>
      <w:r/>
    </w:p>
    <w:p w14:paraId="11179E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desarrollarán </w:t>
      </w:r>
      <w:r>
        <w:rPr>
          <w:rFonts w:ascii="Times New Roman" w:hAnsi="Times New Roman" w:eastAsia="Times New Roman" w:cs="Times New Roman"/>
          <w:b/>
          <w:color w:val="000000"/>
          <w:sz w:val="24"/>
        </w:rPr>
        <w:t xml:space="preserve">estándares provinciales únicos</w:t>
      </w:r>
      <w:r>
        <w:rPr>
          <w:rFonts w:ascii="Times New Roman" w:hAnsi="Times New Roman" w:eastAsia="Times New Roman" w:cs="Times New Roman"/>
          <w:color w:val="000000"/>
          <w:sz w:val="24"/>
        </w:rPr>
        <w:t xml:space="preserve">, consensuados y aprobados por el Ministerio, que incluyan:</w:t>
      </w:r>
      <w:r/>
    </w:p>
    <w:p w14:paraId="22592C20">
      <w:pPr>
        <w:pStyle w:val="95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Sistema provincial de triage (adaptación de estándares reconocidos, como el ATP).</w:t>
      </w:r>
      <w:r/>
    </w:p>
    <w:p w14:paraId="514BF95C">
      <w:pPr>
        <w:pStyle w:val="95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Protocolos de activación, priorización y derivación de ambulancias.</w:t>
      </w:r>
      <w:r/>
    </w:p>
    <w:p w14:paraId="515874BA">
      <w:pPr>
        <w:pStyle w:val="95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Lineamientos de capacitación y certificación del personal interviniente.</w:t>
      </w:r>
      <w:r/>
    </w:p>
    <w:p w14:paraId="48789C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Estos protocolos serán de aplicación obligatoria y progresiva en toda la red pública provincial.</w:t>
      </w:r>
      <w:r/>
    </w:p>
    <w:p w14:paraId="23E2D475">
      <w:pPr>
        <w:pStyle w:val="89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 Pilar 2: Interoperabilidad Técnica Centralizada</w:t>
      </w:r>
      <w:r/>
    </w:p>
    <w:p w14:paraId="757A86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núcleo del SIGMA-NQN será una </w:t>
      </w:r>
      <w:r>
        <w:rPr>
          <w:rFonts w:ascii="Times New Roman" w:hAnsi="Times New Roman" w:eastAsia="Times New Roman" w:cs="Times New Roman"/>
          <w:b/>
          <w:color w:val="000000"/>
          <w:sz w:val="24"/>
        </w:rPr>
        <w:t xml:space="preserve">plataforma provincial de integración</w:t>
      </w:r>
      <w:r>
        <w:rPr>
          <w:rFonts w:ascii="Times New Roman" w:hAnsi="Times New Roman" w:eastAsia="Times New Roman" w:cs="Times New Roman"/>
          <w:color w:val="000000"/>
          <w:sz w:val="24"/>
        </w:rPr>
        <w:t xml:space="preserve">, concebida como un </w:t>
      </w:r>
      <w:r>
        <w:rPr>
          <w:rFonts w:ascii="Times New Roman" w:hAnsi="Times New Roman" w:eastAsia="Times New Roman" w:cs="Times New Roman"/>
          <w:i/>
          <w:color w:val="000000"/>
          <w:sz w:val="24"/>
        </w:rPr>
        <w:t xml:space="preserve">bus de servicios</w:t>
      </w:r>
      <w:r>
        <w:rPr>
          <w:rFonts w:ascii="Times New Roman" w:hAnsi="Times New Roman" w:eastAsia="Times New Roman" w:cs="Times New Roman"/>
          <w:color w:val="000000"/>
          <w:sz w:val="24"/>
        </w:rPr>
        <w:t xml:space="preserve"> que:</w:t>
      </w:r>
      <w:r/>
    </w:p>
    <w:p w14:paraId="7944245F">
      <w:pPr>
        <w:pStyle w:val="95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 conecte a los sistemas existentes (hospitalarios, prehospitalarios, 911, flotas).</w:t>
      </w:r>
      <w:r/>
    </w:p>
    <w:p w14:paraId="1980B1BC">
      <w:pPr>
        <w:pStyle w:val="95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reemplace las soluciones locales, sino que las integre.</w:t>
      </w:r>
      <w:r/>
    </w:p>
    <w:p w14:paraId="501A27EE">
      <w:pPr>
        <w:pStyle w:val="95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Unifique la información relevante en tiempo real.</w:t>
      </w:r>
      <w:r/>
    </w:p>
    <w:p w14:paraId="73B16F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Desde el punto de vista operativo, esto permitirá al Ministerio y al CCO contar con una </w:t>
      </w:r>
      <w:r>
        <w:rPr>
          <w:rFonts w:ascii="Times New Roman" w:hAnsi="Times New Roman" w:eastAsia="Times New Roman" w:cs="Times New Roman"/>
          <w:b/>
          <w:color w:val="000000"/>
          <w:sz w:val="24"/>
        </w:rPr>
        <w:t xml:space="preserve">visión única y consolidada</w:t>
      </w:r>
      <w:r>
        <w:rPr>
          <w:rFonts w:ascii="Times New Roman" w:hAnsi="Times New Roman" w:eastAsia="Times New Roman" w:cs="Times New Roman"/>
          <w:color w:val="000000"/>
          <w:sz w:val="24"/>
        </w:rPr>
        <w:t xml:space="preserve"> del estado de las guardias, la demanda y los recursos disponibles.</w:t>
      </w:r>
      <w:r/>
    </w:p>
    <w:p w14:paraId="2E17261B">
      <w:pPr>
        <w:pStyle w:val="89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4.3 Componente Organizativo: Centro de Coordinación Operativa (CCO)</w:t>
      </w:r>
      <w:r/>
    </w:p>
    <w:p w14:paraId="4B514C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propone la creación de un </w:t>
      </w:r>
      <w:r>
        <w:rPr>
          <w:rFonts w:ascii="Times New Roman" w:hAnsi="Times New Roman" w:eastAsia="Times New Roman" w:cs="Times New Roman"/>
          <w:b/>
          <w:color w:val="000000"/>
          <w:sz w:val="24"/>
        </w:rPr>
        <w:t xml:space="preserve">Centro de Coordinación Operativa Provincial</w:t>
      </w:r>
      <w:r>
        <w:rPr>
          <w:rFonts w:ascii="Times New Roman" w:hAnsi="Times New Roman" w:eastAsia="Times New Roman" w:cs="Times New Roman"/>
          <w:color w:val="000000"/>
          <w:sz w:val="24"/>
        </w:rPr>
        <w:t xml:space="preserve">, con sede en Neuquén capital, responsable de:</w:t>
      </w:r>
      <w:r/>
    </w:p>
    <w:p w14:paraId="64BD8C03">
      <w:pPr>
        <w:pStyle w:val="95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Coordinar traslados y derivaciones complejas.</w:t>
      </w:r>
      <w:r/>
    </w:p>
    <w:p w14:paraId="3AC1BFEB">
      <w:pPr>
        <w:pStyle w:val="95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Monitorear indicadores en tiempo real.</w:t>
      </w:r>
      <w:r/>
    </w:p>
    <w:p w14:paraId="50B23D83">
      <w:pPr>
        <w:pStyle w:val="95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Actuar como nodo rector ante eventos críticos.</w:t>
      </w:r>
      <w:r/>
    </w:p>
    <w:p w14:paraId="60B937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CCO funcionará bajo un </w:t>
      </w:r>
      <w:r>
        <w:rPr>
          <w:rFonts w:ascii="Times New Roman" w:hAnsi="Times New Roman" w:eastAsia="Times New Roman" w:cs="Times New Roman"/>
          <w:b/>
          <w:color w:val="000000"/>
          <w:sz w:val="24"/>
        </w:rPr>
        <w:t xml:space="preserve">modelo de gobernanza</w:t>
      </w:r>
      <w:r>
        <w:rPr>
          <w:rFonts w:ascii="Times New Roman" w:hAnsi="Times New Roman" w:eastAsia="Times New Roman" w:cs="Times New Roman"/>
          <w:color w:val="000000"/>
          <w:sz w:val="24"/>
        </w:rPr>
        <w:t xml:space="preserve"> liderado por el Ministerio, con un Comité Rector intersectorial.</w:t>
      </w:r>
      <w:r/>
    </w:p>
    <w:p w14:paraId="21717522">
      <w:pPr>
        <w:pStyle w:val="89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Plan de Implementación por Fases</w:t>
      </w:r>
      <w:r/>
    </w:p>
    <w:p w14:paraId="73751565">
      <w:pPr>
        <w:pStyle w:val="89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Fase 0 – Inmediata</w:t>
      </w:r>
      <w:r/>
    </w:p>
    <w:p w14:paraId="1D9F259F">
      <w:pPr>
        <w:pStyle w:val="95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Creación de la Unidad Ejecutora SIGMA-NQN.</w:t>
      </w:r>
      <w:r/>
    </w:p>
    <w:p w14:paraId="7315242C">
      <w:pPr>
        <w:pStyle w:val="95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Conformación de comité técnico-clínico.</w:t>
      </w:r>
      <w:r/>
    </w:p>
    <w:p w14:paraId="686834D3">
      <w:pPr>
        <w:pStyle w:val="89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Fase 1 – Piloto (6 a 8 meses)</w:t>
      </w:r>
      <w:r/>
    </w:p>
    <w:p w14:paraId="3E575D4A">
      <w:pPr>
        <w:pStyle w:val="95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Diseño funcional y técnico detallado.</w:t>
      </w:r>
      <w:r/>
    </w:p>
    <w:p w14:paraId="2F14FAA6">
      <w:pPr>
        <w:pStyle w:val="95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Desarrollo de la plataforma core.</w:t>
      </w:r>
      <w:r/>
    </w:p>
    <w:p w14:paraId="45375850">
      <w:pPr>
        <w:pStyle w:val="95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Pilotaje en el área metropolitana de Neuquén.</w:t>
      </w:r>
      <w:r/>
    </w:p>
    <w:p w14:paraId="08E484C5">
      <w:pPr>
        <w:pStyle w:val="89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Fase 2 – Expansión Provincial (18 meses)</w:t>
      </w:r>
      <w:r/>
    </w:p>
    <w:p w14:paraId="49472709">
      <w:pPr>
        <w:pStyle w:val="95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Incorporación progresiva de regiones sanitarias.</w:t>
      </w:r>
      <w:r/>
    </w:p>
    <w:p w14:paraId="4C4B47CE">
      <w:pPr>
        <w:pStyle w:val="95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Integración de nuevos establecimientos y flotas.</w:t>
      </w:r>
      <w:r/>
    </w:p>
    <w:p w14:paraId="565909F0">
      <w:pPr>
        <w:pStyle w:val="89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Fase 3 – Consolidación</w:t>
      </w:r>
      <w:r/>
    </w:p>
    <w:p w14:paraId="6B310EE2">
      <w:pPr>
        <w:pStyle w:val="95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Ajustes, mejoras continuas y ampliación de funcionalidades.</w:t>
      </w:r>
      <w:r/>
    </w:p>
    <w:p w14:paraId="3A26061F">
      <w:pPr>
        <w:pStyle w:val="89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Beneficios Esperados y Métricas de Éxito</w:t>
      </w:r>
      <w:r/>
    </w:p>
    <w:p w14:paraId="57FA7E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Beneficios clave</w:t>
      </w:r>
      <w:r/>
    </w:p>
    <w:p w14:paraId="0C03B1C3">
      <w:pPr>
        <w:pStyle w:val="95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Mejora en la equidad y calidad de la atención.</w:t>
      </w:r>
      <w:r/>
    </w:p>
    <w:p w14:paraId="2912CEA8">
      <w:pPr>
        <w:pStyle w:val="95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Optimización de recursos críticos.</w:t>
      </w:r>
      <w:r/>
    </w:p>
    <w:p w14:paraId="2AAB7CE5">
      <w:pPr>
        <w:pStyle w:val="95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Mayor capacidad de rectoría ministerial.</w:t>
      </w:r>
      <w:r/>
    </w:p>
    <w:p w14:paraId="3C6BA5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KPIs propuestos</w:t>
      </w:r>
      <w:r/>
    </w:p>
    <w:p w14:paraId="60F04DEC">
      <w:pPr>
        <w:pStyle w:val="95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Tiempo promedio de respuesta provincial.</w:t>
      </w:r>
      <w:r/>
    </w:p>
    <w:p w14:paraId="10A24471">
      <w:pPr>
        <w:pStyle w:val="95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Porcentaje de eventos con triage estandarizado.</w:t>
      </w:r>
      <w:r/>
    </w:p>
    <w:p w14:paraId="0F9617AF">
      <w:pPr>
        <w:pStyle w:val="95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Nivel de interoperabilidad alcanzado.</w:t>
      </w:r>
      <w:r/>
    </w:p>
    <w:p w14:paraId="0CF06D27">
      <w:pPr>
        <w:pStyle w:val="89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Consideraciones Clave: Riesgos y Mitigación</w:t>
      </w:r>
      <w:r/>
    </w:p>
    <w:p w14:paraId="00F94907">
      <w:pPr>
        <w:pStyle w:val="95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Resistencia al cambio:</w:t>
      </w:r>
      <w:r>
        <w:rPr>
          <w:rFonts w:ascii="Times New Roman" w:hAnsi="Times New Roman" w:eastAsia="Times New Roman" w:cs="Times New Roman"/>
          <w:color w:val="000000"/>
          <w:sz w:val="24"/>
        </w:rPr>
        <w:t xml:space="preserve"> mitigada mediante capacitación y participación temprana.</w:t>
      </w:r>
      <w:r/>
    </w:p>
    <w:p w14:paraId="12BF7F49">
      <w:pPr>
        <w:pStyle w:val="95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Complejidad técnica:</w:t>
      </w:r>
      <w:r>
        <w:rPr>
          <w:rFonts w:ascii="Times New Roman" w:hAnsi="Times New Roman" w:eastAsia="Times New Roman" w:cs="Times New Roman"/>
          <w:color w:val="000000"/>
          <w:sz w:val="24"/>
        </w:rPr>
        <w:t xml:space="preserve"> mitigada con arquitectura modular y estándares.</w:t>
      </w:r>
      <w:r/>
    </w:p>
    <w:p w14:paraId="5ACE49FD">
      <w:pPr>
        <w:pStyle w:val="95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Sostenibilidad financiera:</w:t>
      </w:r>
      <w:r>
        <w:rPr>
          <w:rFonts w:ascii="Times New Roman" w:hAnsi="Times New Roman" w:eastAsia="Times New Roman" w:cs="Times New Roman"/>
          <w:color w:val="000000"/>
          <w:sz w:val="24"/>
        </w:rPr>
        <w:t xml:space="preserve"> mitigada con implementación por fases.</w:t>
      </w:r>
      <w:r/>
    </w:p>
    <w:p w14:paraId="2C4DBCC8">
      <w:pPr>
        <w:pStyle w:val="89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Conclusión y Recomendación Estratégica</w:t>
      </w:r>
      <w:r/>
    </w:p>
    <w:p w14:paraId="2C7D6D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w:t>
      </w:r>
      <w:r>
        <w:rPr>
          <w:rFonts w:ascii="Times New Roman" w:hAnsi="Times New Roman" w:eastAsia="Times New Roman" w:cs="Times New Roman"/>
          <w:b/>
          <w:color w:val="000000"/>
          <w:sz w:val="24"/>
        </w:rPr>
        <w:t xml:space="preserve">SIGMA-NQN</w:t>
      </w:r>
      <w:r>
        <w:rPr>
          <w:rFonts w:ascii="Times New Roman" w:hAnsi="Times New Roman" w:eastAsia="Times New Roman" w:cs="Times New Roman"/>
          <w:color w:val="000000"/>
          <w:sz w:val="24"/>
        </w:rPr>
        <w:t xml:space="preserve"> constituye una herramienta estratégica para fortalecer de manera concreta el rol de </w:t>
      </w:r>
      <w:r>
        <w:rPr>
          <w:rFonts w:ascii="Times New Roman" w:hAnsi="Times New Roman" w:eastAsia="Times New Roman" w:cs="Times New Roman"/>
          <w:b/>
          <w:color w:val="000000"/>
          <w:sz w:val="24"/>
        </w:rPr>
        <w:t xml:space="preserve">rectoría sanitaria del Ministerio de Salud de la Provincia del Neuquén</w:t>
      </w:r>
      <w:r>
        <w:rPr>
          <w:rFonts w:ascii="Times New Roman" w:hAnsi="Times New Roman" w:eastAsia="Times New Roman" w:cs="Times New Roman"/>
          <w:color w:val="000000"/>
          <w:sz w:val="24"/>
        </w:rPr>
        <w:t xml:space="preserve">, alineándose con los principios de equidad, eficiencia, regionalización y uso inteligente de la información para la toma de decisiones públicas.</w:t>
      </w:r>
      <w:r/>
    </w:p>
    <w:p w14:paraId="6E10A2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implementación de este sistema permitirá superar la fragmentación actual sin desconocer las capacidades instaladas, integrando progresivamente a los distintos actores del sistema de salud y de seguridad bajo un marco normativo, organizativo y tecnológic</w:t>
      </w:r>
      <w:r>
        <w:rPr>
          <w:rFonts w:ascii="Times New Roman" w:hAnsi="Times New Roman" w:eastAsia="Times New Roman" w:cs="Times New Roman"/>
          <w:color w:val="000000"/>
          <w:sz w:val="24"/>
        </w:rPr>
        <w:t xml:space="preserve">o común.</w:t>
      </w:r>
      <w:r/>
    </w:p>
    <w:p w14:paraId="6C3E7B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función de lo expuesto, se </w:t>
      </w:r>
      <w:r>
        <w:rPr>
          <w:rFonts w:ascii="Times New Roman" w:hAnsi="Times New Roman" w:eastAsia="Times New Roman" w:cs="Times New Roman"/>
          <w:b/>
          <w:color w:val="000000"/>
          <w:sz w:val="24"/>
        </w:rPr>
        <w:t xml:space="preserve">recomienda formalmente al Sr. Ministro de Salud</w:t>
      </w:r>
      <w:r>
        <w:rPr>
          <w:rFonts w:ascii="Times New Roman" w:hAnsi="Times New Roman" w:eastAsia="Times New Roman" w:cs="Times New Roman"/>
          <w:color w:val="000000"/>
          <w:sz w:val="24"/>
        </w:rPr>
        <w:t xml:space="preserve">:</w:t>
      </w:r>
      <w:r/>
    </w:p>
    <w:p w14:paraId="2449124C">
      <w:pPr>
        <w:pStyle w:val="95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Emitir una Resolución Ministerial</w:t>
      </w:r>
      <w:r>
        <w:rPr>
          <w:rFonts w:ascii="Times New Roman" w:hAnsi="Times New Roman" w:eastAsia="Times New Roman" w:cs="Times New Roman"/>
          <w:color w:val="000000"/>
          <w:sz w:val="24"/>
        </w:rPr>
        <w:t xml:space="preserve"> que disponga:</w:t>
      </w:r>
      <w:r/>
    </w:p>
    <w:p w14:paraId="7DD28327">
      <w:pPr>
        <w:pStyle w:val="958"/>
        <w:numPr>
          <w:ilvl w:val="1"/>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creación de la </w:t>
      </w:r>
      <w:r>
        <w:rPr>
          <w:rFonts w:ascii="Times New Roman" w:hAnsi="Times New Roman" w:eastAsia="Times New Roman" w:cs="Times New Roman"/>
          <w:b/>
          <w:color w:val="000000"/>
          <w:sz w:val="24"/>
        </w:rPr>
        <w:t xml:space="preserve">Unidad Ejecutora del Sistema Provincial Integrado de Guardias Médicas y Coordinación de Ambulancias (SIGMA-NQN)</w:t>
      </w:r>
      <w:r>
        <w:rPr>
          <w:rFonts w:ascii="Times New Roman" w:hAnsi="Times New Roman" w:eastAsia="Times New Roman" w:cs="Times New Roman"/>
          <w:color w:val="000000"/>
          <w:sz w:val="24"/>
        </w:rPr>
        <w:t xml:space="preserve">.</w:t>
      </w:r>
      <w:r/>
    </w:p>
    <w:p w14:paraId="66FC37F0">
      <w:pPr>
        <w:pStyle w:val="958"/>
        <w:numPr>
          <w:ilvl w:val="1"/>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conformación de un </w:t>
      </w:r>
      <w:r>
        <w:rPr>
          <w:rFonts w:ascii="Times New Roman" w:hAnsi="Times New Roman" w:eastAsia="Times New Roman" w:cs="Times New Roman"/>
          <w:b/>
          <w:color w:val="000000"/>
          <w:sz w:val="24"/>
        </w:rPr>
        <w:t xml:space="preserve">Comité Rector Provincial</w:t>
      </w:r>
      <w:r>
        <w:rPr>
          <w:rFonts w:ascii="Times New Roman" w:hAnsi="Times New Roman" w:eastAsia="Times New Roman" w:cs="Times New Roman"/>
          <w:color w:val="000000"/>
          <w:sz w:val="24"/>
        </w:rPr>
        <w:t xml:space="preserve">, presidido por el Ministerio de Salud, con participación de las áreas de emergencias, hospitales de referencia, regiones sanitarias, sistemas de seguridad y otros organismos que se consideren pertinentes.</w:t>
      </w:r>
      <w:r/>
    </w:p>
    <w:p w14:paraId="5D10A7B1">
      <w:pPr>
        <w:pStyle w:val="95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Autorizar la asignación de los recursos necesarios</w:t>
      </w:r>
      <w:r>
        <w:rPr>
          <w:rFonts w:ascii="Times New Roman" w:hAnsi="Times New Roman" w:eastAsia="Times New Roman" w:cs="Times New Roman"/>
          <w:color w:val="000000"/>
          <w:sz w:val="24"/>
        </w:rPr>
        <w:t xml:space="preserve"> para la ejecución de la </w:t>
      </w:r>
      <w:r>
        <w:rPr>
          <w:rFonts w:ascii="Times New Roman" w:hAnsi="Times New Roman" w:eastAsia="Times New Roman" w:cs="Times New Roman"/>
          <w:b/>
          <w:color w:val="000000"/>
          <w:sz w:val="24"/>
        </w:rPr>
        <w:t xml:space="preserve">Fase 1: Diseño Detallado y Pilotaje</w:t>
      </w:r>
      <w:r>
        <w:rPr>
          <w:rFonts w:ascii="Times New Roman" w:hAnsi="Times New Roman" w:eastAsia="Times New Roman" w:cs="Times New Roman"/>
          <w:color w:val="000000"/>
          <w:sz w:val="24"/>
        </w:rPr>
        <w:t xml:space="preserve">, incluyendo el desarrollo de la plataforma de interoperabilidad, la definición de protocolos provinciales y la puesta en marcha del piloto en el área metropolitana de Neuquén.</w:t>
      </w:r>
      <w:r/>
    </w:p>
    <w:p w14:paraId="51661D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adopción de esta decisión estratégica permitirá iniciar un proceso de transformación estructural del sistema de emergencias médicas provincial, con impacto directo en la seguridad de la población, la eficiencia del gasto público y el fortalecimiento ins</w:t>
      </w:r>
      <w:r>
        <w:rPr>
          <w:rFonts w:ascii="Times New Roman" w:hAnsi="Times New Roman" w:eastAsia="Times New Roman" w:cs="Times New Roman"/>
          <w:color w:val="000000"/>
          <w:sz w:val="24"/>
        </w:rPr>
        <w:t xml:space="preserve">titucional del Ministerio de Salud.</w:t>
      </w:r>
      <w:r/>
    </w:p>
    <w:p>
      <w:pPr>
        <w:pBdr/>
        <w:spacing/>
        <w:ind/>
        <w:rPr/>
      </w:pPr>
      <w:r/>
      <w:r/>
    </w:p>
    <w:sectPr>
      <w:headerReference w:type="default" r:id="rId9"/>
      <w:footerReference w:type="default" r:id="rId10"/>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D3A625C">
    <w:pPr>
      <w:pStyle w:val="931"/>
      <w:pBdr/>
      <w:spacing/>
      <w:ind/>
      <w:jc w:val="center"/>
      <w:rPr/>
    </w:pPr>
    <w:fldSimple w:instr="PAGE \* MERGEFORMAT">
      <w:r>
        <w:t xml:space="preserve">1</w:t>
      </w:r>
    </w:fldSimple>
    <w:r/>
    <w:r/>
  </w:p>
  <w:p w14:paraId="60421052">
    <w:pPr>
      <w:pStyle w:val="9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F966F10">
    <w:pPr>
      <w:pStyle w:val="929"/>
      <w:pBdr/>
      <w:spacing/>
      <w:ind/>
      <w:jc w:val="center"/>
      <w:rPr/>
    </w:pPr>
    <w:r>
      <w:rPr>
        <w:lang w:val="es-AR"/>
      </w:rPr>
      <w:t xml:space="preserve">SIGMA-NQN - CHATGPT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748C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B69B9D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0C4BAB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FA54385"/>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nsid w:val="3A17BF11"/>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nsid w:val="213CC9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5FD89D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nsid w:val="56246A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7CD6A76"/>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nsid w:val="088619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C2E71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2AB78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BF124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D529B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EC1D6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2BA7E1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A1392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2745D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250E2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5ECFE9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716EDE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8C1BF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36A549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4A49B804"/>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4">
    <w:nsid w:val="6379AF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1423D05F"/>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9">
    <w:name w:val="Table Grid"/>
    <w:basedOn w:val="95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2">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3">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4">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5">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6">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7">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8">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8">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9">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70">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71">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2">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73">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4">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Heading 1"/>
    <w:basedOn w:val="954"/>
    <w:next w:val="954"/>
    <w:link w:val="90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96">
    <w:name w:val="Heading 2"/>
    <w:basedOn w:val="954"/>
    <w:next w:val="954"/>
    <w:link w:val="90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97">
    <w:name w:val="Heading 3"/>
    <w:basedOn w:val="954"/>
    <w:next w:val="954"/>
    <w:link w:val="90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8">
    <w:name w:val="Heading 4"/>
    <w:basedOn w:val="954"/>
    <w:next w:val="954"/>
    <w:link w:val="90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9">
    <w:name w:val="Heading 5"/>
    <w:basedOn w:val="954"/>
    <w:next w:val="954"/>
    <w:link w:val="90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0">
    <w:name w:val="Heading 6"/>
    <w:basedOn w:val="954"/>
    <w:next w:val="954"/>
    <w:link w:val="91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1">
    <w:name w:val="Heading 7"/>
    <w:basedOn w:val="954"/>
    <w:next w:val="954"/>
    <w:link w:val="91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2">
    <w:name w:val="Heading 8"/>
    <w:basedOn w:val="954"/>
    <w:next w:val="954"/>
    <w:link w:val="91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3">
    <w:name w:val="Heading 9"/>
    <w:basedOn w:val="954"/>
    <w:next w:val="954"/>
    <w:link w:val="91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4" w:default="1">
    <w:name w:val="Default Paragraph Font"/>
    <w:uiPriority w:val="1"/>
    <w:semiHidden/>
    <w:unhideWhenUsed/>
    <w:pPr>
      <w:pBdr/>
      <w:spacing/>
      <w:ind/>
    </w:pPr>
  </w:style>
  <w:style w:type="character" w:styleId="905">
    <w:name w:val="Heading 1 Char"/>
    <w:basedOn w:val="904"/>
    <w:link w:val="895"/>
    <w:uiPriority w:val="9"/>
    <w:pPr>
      <w:pBdr/>
      <w:spacing/>
      <w:ind/>
    </w:pPr>
    <w:rPr>
      <w:rFonts w:ascii="Arial" w:hAnsi="Arial" w:eastAsia="Arial" w:cs="Arial"/>
      <w:color w:val="0f4761" w:themeColor="accent1" w:themeShade="BF"/>
      <w:sz w:val="40"/>
      <w:szCs w:val="40"/>
    </w:rPr>
  </w:style>
  <w:style w:type="character" w:styleId="906">
    <w:name w:val="Heading 2 Char"/>
    <w:basedOn w:val="904"/>
    <w:link w:val="896"/>
    <w:uiPriority w:val="9"/>
    <w:pPr>
      <w:pBdr/>
      <w:spacing/>
      <w:ind/>
    </w:pPr>
    <w:rPr>
      <w:rFonts w:ascii="Arial" w:hAnsi="Arial" w:eastAsia="Arial" w:cs="Arial"/>
      <w:color w:val="0f4761" w:themeColor="accent1" w:themeShade="BF"/>
      <w:sz w:val="32"/>
      <w:szCs w:val="32"/>
    </w:rPr>
  </w:style>
  <w:style w:type="character" w:styleId="907">
    <w:name w:val="Heading 3 Char"/>
    <w:basedOn w:val="904"/>
    <w:link w:val="897"/>
    <w:uiPriority w:val="9"/>
    <w:pPr>
      <w:pBdr/>
      <w:spacing/>
      <w:ind/>
    </w:pPr>
    <w:rPr>
      <w:rFonts w:ascii="Arial" w:hAnsi="Arial" w:eastAsia="Arial" w:cs="Arial"/>
      <w:color w:val="0f4761" w:themeColor="accent1" w:themeShade="BF"/>
      <w:sz w:val="28"/>
      <w:szCs w:val="28"/>
    </w:rPr>
  </w:style>
  <w:style w:type="character" w:styleId="908">
    <w:name w:val="Heading 4 Char"/>
    <w:basedOn w:val="904"/>
    <w:link w:val="898"/>
    <w:uiPriority w:val="9"/>
    <w:pPr>
      <w:pBdr/>
      <w:spacing/>
      <w:ind/>
    </w:pPr>
    <w:rPr>
      <w:rFonts w:ascii="Arial" w:hAnsi="Arial" w:eastAsia="Arial" w:cs="Arial"/>
      <w:i/>
      <w:iCs/>
      <w:color w:val="0f4761" w:themeColor="accent1" w:themeShade="BF"/>
    </w:rPr>
  </w:style>
  <w:style w:type="character" w:styleId="909">
    <w:name w:val="Heading 5 Char"/>
    <w:basedOn w:val="904"/>
    <w:link w:val="899"/>
    <w:uiPriority w:val="9"/>
    <w:pPr>
      <w:pBdr/>
      <w:spacing/>
      <w:ind/>
    </w:pPr>
    <w:rPr>
      <w:rFonts w:ascii="Arial" w:hAnsi="Arial" w:eastAsia="Arial" w:cs="Arial"/>
      <w:color w:val="0f4761" w:themeColor="accent1" w:themeShade="BF"/>
    </w:rPr>
  </w:style>
  <w:style w:type="character" w:styleId="910">
    <w:name w:val="Heading 6 Char"/>
    <w:basedOn w:val="904"/>
    <w:link w:val="900"/>
    <w:uiPriority w:val="9"/>
    <w:pPr>
      <w:pBdr/>
      <w:spacing/>
      <w:ind/>
    </w:pPr>
    <w:rPr>
      <w:rFonts w:ascii="Arial" w:hAnsi="Arial" w:eastAsia="Arial" w:cs="Arial"/>
      <w:i/>
      <w:iCs/>
      <w:color w:val="595959" w:themeColor="text1" w:themeTint="A6"/>
    </w:rPr>
  </w:style>
  <w:style w:type="character" w:styleId="911">
    <w:name w:val="Heading 7 Char"/>
    <w:basedOn w:val="904"/>
    <w:link w:val="901"/>
    <w:uiPriority w:val="9"/>
    <w:pPr>
      <w:pBdr/>
      <w:spacing/>
      <w:ind/>
    </w:pPr>
    <w:rPr>
      <w:rFonts w:ascii="Arial" w:hAnsi="Arial" w:eastAsia="Arial" w:cs="Arial"/>
      <w:color w:val="595959" w:themeColor="text1" w:themeTint="A6"/>
    </w:rPr>
  </w:style>
  <w:style w:type="character" w:styleId="912">
    <w:name w:val="Heading 8 Char"/>
    <w:basedOn w:val="904"/>
    <w:link w:val="902"/>
    <w:uiPriority w:val="9"/>
    <w:pPr>
      <w:pBdr/>
      <w:spacing/>
      <w:ind/>
    </w:pPr>
    <w:rPr>
      <w:rFonts w:ascii="Arial" w:hAnsi="Arial" w:eastAsia="Arial" w:cs="Arial"/>
      <w:i/>
      <w:iCs/>
      <w:color w:val="272727" w:themeColor="text1" w:themeTint="D8"/>
    </w:rPr>
  </w:style>
  <w:style w:type="character" w:styleId="913">
    <w:name w:val="Heading 9 Char"/>
    <w:basedOn w:val="904"/>
    <w:link w:val="903"/>
    <w:uiPriority w:val="9"/>
    <w:pPr>
      <w:pBdr/>
      <w:spacing/>
      <w:ind/>
    </w:pPr>
    <w:rPr>
      <w:rFonts w:ascii="Arial" w:hAnsi="Arial" w:eastAsia="Arial" w:cs="Arial"/>
      <w:i/>
      <w:iCs/>
      <w:color w:val="272727" w:themeColor="text1" w:themeTint="D8"/>
    </w:rPr>
  </w:style>
  <w:style w:type="paragraph" w:styleId="914">
    <w:name w:val="Title"/>
    <w:basedOn w:val="954"/>
    <w:next w:val="954"/>
    <w:link w:val="915"/>
    <w:uiPriority w:val="10"/>
    <w:qFormat/>
    <w:pPr>
      <w:pBdr/>
      <w:spacing w:after="80" w:line="240" w:lineRule="auto"/>
      <w:ind/>
      <w:contextualSpacing w:val="true"/>
    </w:pPr>
    <w:rPr>
      <w:rFonts w:ascii="Arial" w:hAnsi="Arial" w:eastAsia="Arial" w:cs="Arial"/>
      <w:spacing w:val="-10"/>
      <w:sz w:val="56"/>
      <w:szCs w:val="56"/>
    </w:rPr>
  </w:style>
  <w:style w:type="character" w:styleId="915">
    <w:name w:val="Title Char"/>
    <w:basedOn w:val="904"/>
    <w:link w:val="914"/>
    <w:uiPriority w:val="10"/>
    <w:pPr>
      <w:pBdr/>
      <w:spacing/>
      <w:ind/>
    </w:pPr>
    <w:rPr>
      <w:rFonts w:ascii="Arial" w:hAnsi="Arial" w:eastAsia="Arial" w:cs="Arial"/>
      <w:spacing w:val="-10"/>
      <w:sz w:val="56"/>
      <w:szCs w:val="56"/>
    </w:rPr>
  </w:style>
  <w:style w:type="paragraph" w:styleId="916">
    <w:name w:val="Subtitle"/>
    <w:basedOn w:val="954"/>
    <w:next w:val="954"/>
    <w:link w:val="917"/>
    <w:uiPriority w:val="11"/>
    <w:qFormat/>
    <w:pPr>
      <w:numPr>
        <w:ilvl w:val="1"/>
      </w:numPr>
      <w:pBdr/>
      <w:spacing/>
      <w:ind/>
    </w:pPr>
    <w:rPr>
      <w:color w:val="595959" w:themeColor="text1" w:themeTint="A6"/>
      <w:spacing w:val="15"/>
      <w:sz w:val="28"/>
      <w:szCs w:val="28"/>
    </w:rPr>
  </w:style>
  <w:style w:type="character" w:styleId="917">
    <w:name w:val="Subtitle Char"/>
    <w:basedOn w:val="904"/>
    <w:link w:val="916"/>
    <w:uiPriority w:val="11"/>
    <w:pPr>
      <w:pBdr/>
      <w:spacing/>
      <w:ind/>
    </w:pPr>
    <w:rPr>
      <w:color w:val="595959" w:themeColor="text1" w:themeTint="A6"/>
      <w:spacing w:val="15"/>
      <w:sz w:val="28"/>
      <w:szCs w:val="28"/>
    </w:rPr>
  </w:style>
  <w:style w:type="paragraph" w:styleId="918">
    <w:name w:val="Quote"/>
    <w:basedOn w:val="954"/>
    <w:next w:val="954"/>
    <w:link w:val="919"/>
    <w:uiPriority w:val="29"/>
    <w:qFormat/>
    <w:pPr>
      <w:pBdr/>
      <w:spacing w:before="160"/>
      <w:ind/>
      <w:jc w:val="center"/>
    </w:pPr>
    <w:rPr>
      <w:i/>
      <w:iCs/>
      <w:color w:val="404040" w:themeColor="text1" w:themeTint="BF"/>
    </w:rPr>
  </w:style>
  <w:style w:type="character" w:styleId="919">
    <w:name w:val="Quote Char"/>
    <w:basedOn w:val="904"/>
    <w:link w:val="918"/>
    <w:uiPriority w:val="29"/>
    <w:pPr>
      <w:pBdr/>
      <w:spacing/>
      <w:ind/>
    </w:pPr>
    <w:rPr>
      <w:i/>
      <w:iCs/>
      <w:color w:val="404040" w:themeColor="text1" w:themeTint="BF"/>
    </w:rPr>
  </w:style>
  <w:style w:type="character" w:styleId="920">
    <w:name w:val="Intense Emphasis"/>
    <w:basedOn w:val="904"/>
    <w:uiPriority w:val="21"/>
    <w:qFormat/>
    <w:pPr>
      <w:pBdr/>
      <w:spacing/>
      <w:ind/>
    </w:pPr>
    <w:rPr>
      <w:i/>
      <w:iCs/>
      <w:color w:val="0f4761" w:themeColor="accent1" w:themeShade="BF"/>
    </w:rPr>
  </w:style>
  <w:style w:type="paragraph" w:styleId="921">
    <w:name w:val="Intense Quote"/>
    <w:basedOn w:val="954"/>
    <w:next w:val="954"/>
    <w:link w:val="9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2">
    <w:name w:val="Intense Quote Char"/>
    <w:basedOn w:val="904"/>
    <w:link w:val="921"/>
    <w:uiPriority w:val="30"/>
    <w:pPr>
      <w:pBdr/>
      <w:spacing/>
      <w:ind/>
    </w:pPr>
    <w:rPr>
      <w:i/>
      <w:iCs/>
      <w:color w:val="0f4761" w:themeColor="accent1" w:themeShade="BF"/>
    </w:rPr>
  </w:style>
  <w:style w:type="character" w:styleId="923">
    <w:name w:val="Intense Reference"/>
    <w:basedOn w:val="904"/>
    <w:uiPriority w:val="32"/>
    <w:qFormat/>
    <w:pPr>
      <w:pBdr/>
      <w:spacing/>
      <w:ind/>
    </w:pPr>
    <w:rPr>
      <w:b/>
      <w:bCs/>
      <w:smallCaps/>
      <w:color w:val="0f4761" w:themeColor="accent1" w:themeShade="BF"/>
      <w:spacing w:val="5"/>
    </w:rPr>
  </w:style>
  <w:style w:type="character" w:styleId="924">
    <w:name w:val="Subtle Emphasis"/>
    <w:basedOn w:val="904"/>
    <w:uiPriority w:val="19"/>
    <w:qFormat/>
    <w:pPr>
      <w:pBdr/>
      <w:spacing/>
      <w:ind/>
    </w:pPr>
    <w:rPr>
      <w:i/>
      <w:iCs/>
      <w:color w:val="404040" w:themeColor="text1" w:themeTint="BF"/>
    </w:rPr>
  </w:style>
  <w:style w:type="character" w:styleId="925">
    <w:name w:val="Emphasis"/>
    <w:basedOn w:val="904"/>
    <w:uiPriority w:val="20"/>
    <w:qFormat/>
    <w:pPr>
      <w:pBdr/>
      <w:spacing/>
      <w:ind/>
    </w:pPr>
    <w:rPr>
      <w:i/>
      <w:iCs/>
    </w:rPr>
  </w:style>
  <w:style w:type="character" w:styleId="926">
    <w:name w:val="Strong"/>
    <w:basedOn w:val="904"/>
    <w:uiPriority w:val="22"/>
    <w:qFormat/>
    <w:pPr>
      <w:pBdr/>
      <w:spacing/>
      <w:ind/>
    </w:pPr>
    <w:rPr>
      <w:b/>
      <w:bCs/>
    </w:rPr>
  </w:style>
  <w:style w:type="character" w:styleId="927">
    <w:name w:val="Subtle Reference"/>
    <w:basedOn w:val="904"/>
    <w:uiPriority w:val="31"/>
    <w:qFormat/>
    <w:pPr>
      <w:pBdr/>
      <w:spacing/>
      <w:ind/>
    </w:pPr>
    <w:rPr>
      <w:smallCaps/>
      <w:color w:val="5a5a5a" w:themeColor="text1" w:themeTint="A5"/>
    </w:rPr>
  </w:style>
  <w:style w:type="character" w:styleId="928">
    <w:name w:val="Book Title"/>
    <w:basedOn w:val="904"/>
    <w:uiPriority w:val="33"/>
    <w:qFormat/>
    <w:pPr>
      <w:pBdr/>
      <w:spacing/>
      <w:ind/>
    </w:pPr>
    <w:rPr>
      <w:b/>
      <w:bCs/>
      <w:i/>
      <w:iCs/>
      <w:spacing w:val="5"/>
    </w:rPr>
  </w:style>
  <w:style w:type="paragraph" w:styleId="929">
    <w:name w:val="Header"/>
    <w:basedOn w:val="954"/>
    <w:link w:val="930"/>
    <w:uiPriority w:val="99"/>
    <w:unhideWhenUsed/>
    <w:pPr>
      <w:pBdr/>
      <w:tabs>
        <w:tab w:val="center" w:leader="none" w:pos="4844"/>
        <w:tab w:val="right" w:leader="none" w:pos="9689"/>
      </w:tabs>
      <w:spacing w:after="0" w:line="240" w:lineRule="auto"/>
      <w:ind/>
    </w:pPr>
  </w:style>
  <w:style w:type="character" w:styleId="930">
    <w:name w:val="Header Char"/>
    <w:basedOn w:val="904"/>
    <w:link w:val="929"/>
    <w:uiPriority w:val="99"/>
    <w:pPr>
      <w:pBdr/>
      <w:spacing/>
      <w:ind/>
    </w:pPr>
  </w:style>
  <w:style w:type="paragraph" w:styleId="931">
    <w:name w:val="Footer"/>
    <w:basedOn w:val="954"/>
    <w:link w:val="932"/>
    <w:uiPriority w:val="99"/>
    <w:unhideWhenUsed/>
    <w:pPr>
      <w:pBdr/>
      <w:tabs>
        <w:tab w:val="center" w:leader="none" w:pos="4844"/>
        <w:tab w:val="right" w:leader="none" w:pos="9689"/>
      </w:tabs>
      <w:spacing w:after="0" w:line="240" w:lineRule="auto"/>
      <w:ind/>
    </w:pPr>
  </w:style>
  <w:style w:type="character" w:styleId="932">
    <w:name w:val="Footer Char"/>
    <w:basedOn w:val="904"/>
    <w:link w:val="931"/>
    <w:uiPriority w:val="99"/>
    <w:pPr>
      <w:pBdr/>
      <w:spacing/>
      <w:ind/>
    </w:pPr>
  </w:style>
  <w:style w:type="paragraph" w:styleId="933">
    <w:name w:val="Caption"/>
    <w:basedOn w:val="954"/>
    <w:next w:val="954"/>
    <w:uiPriority w:val="35"/>
    <w:unhideWhenUsed/>
    <w:qFormat/>
    <w:pPr>
      <w:pBdr/>
      <w:spacing w:after="200" w:line="240" w:lineRule="auto"/>
      <w:ind/>
    </w:pPr>
    <w:rPr>
      <w:i/>
      <w:iCs/>
      <w:color w:val="0e2841" w:themeColor="text2"/>
      <w:sz w:val="18"/>
      <w:szCs w:val="18"/>
    </w:rPr>
  </w:style>
  <w:style w:type="paragraph" w:styleId="934">
    <w:name w:val="footnote text"/>
    <w:basedOn w:val="954"/>
    <w:link w:val="935"/>
    <w:uiPriority w:val="99"/>
    <w:semiHidden/>
    <w:unhideWhenUsed/>
    <w:pPr>
      <w:pBdr/>
      <w:spacing w:after="0" w:line="240" w:lineRule="auto"/>
      <w:ind/>
    </w:pPr>
    <w:rPr>
      <w:sz w:val="20"/>
      <w:szCs w:val="20"/>
    </w:rPr>
  </w:style>
  <w:style w:type="character" w:styleId="935">
    <w:name w:val="Footnote Text Char"/>
    <w:basedOn w:val="904"/>
    <w:link w:val="934"/>
    <w:uiPriority w:val="99"/>
    <w:semiHidden/>
    <w:pPr>
      <w:pBdr/>
      <w:spacing/>
      <w:ind/>
    </w:pPr>
    <w:rPr>
      <w:sz w:val="20"/>
      <w:szCs w:val="20"/>
    </w:rPr>
  </w:style>
  <w:style w:type="character" w:styleId="936">
    <w:name w:val="footnote reference"/>
    <w:basedOn w:val="904"/>
    <w:uiPriority w:val="99"/>
    <w:semiHidden/>
    <w:unhideWhenUsed/>
    <w:pPr>
      <w:pBdr/>
      <w:spacing/>
      <w:ind/>
    </w:pPr>
    <w:rPr>
      <w:vertAlign w:val="superscript"/>
    </w:rPr>
  </w:style>
  <w:style w:type="paragraph" w:styleId="937">
    <w:name w:val="endnote text"/>
    <w:basedOn w:val="954"/>
    <w:link w:val="938"/>
    <w:uiPriority w:val="99"/>
    <w:semiHidden/>
    <w:unhideWhenUsed/>
    <w:pPr>
      <w:pBdr/>
      <w:spacing w:after="0" w:line="240" w:lineRule="auto"/>
      <w:ind/>
    </w:pPr>
    <w:rPr>
      <w:sz w:val="20"/>
      <w:szCs w:val="20"/>
    </w:rPr>
  </w:style>
  <w:style w:type="character" w:styleId="938">
    <w:name w:val="Endnote Text Char"/>
    <w:basedOn w:val="904"/>
    <w:link w:val="937"/>
    <w:uiPriority w:val="99"/>
    <w:semiHidden/>
    <w:pPr>
      <w:pBdr/>
      <w:spacing/>
      <w:ind/>
    </w:pPr>
    <w:rPr>
      <w:sz w:val="20"/>
      <w:szCs w:val="20"/>
    </w:rPr>
  </w:style>
  <w:style w:type="character" w:styleId="939">
    <w:name w:val="endnote reference"/>
    <w:basedOn w:val="904"/>
    <w:uiPriority w:val="99"/>
    <w:semiHidden/>
    <w:unhideWhenUsed/>
    <w:pPr>
      <w:pBdr/>
      <w:spacing/>
      <w:ind/>
    </w:pPr>
    <w:rPr>
      <w:vertAlign w:val="superscript"/>
    </w:rPr>
  </w:style>
  <w:style w:type="character" w:styleId="940">
    <w:name w:val="Hyperlink"/>
    <w:basedOn w:val="904"/>
    <w:uiPriority w:val="99"/>
    <w:unhideWhenUsed/>
    <w:pPr>
      <w:pBdr/>
      <w:spacing/>
      <w:ind/>
    </w:pPr>
    <w:rPr>
      <w:color w:val="0563c1" w:themeColor="hyperlink"/>
      <w:u w:val="single"/>
    </w:rPr>
  </w:style>
  <w:style w:type="character" w:styleId="941">
    <w:name w:val="FollowedHyperlink"/>
    <w:basedOn w:val="904"/>
    <w:uiPriority w:val="99"/>
    <w:semiHidden/>
    <w:unhideWhenUsed/>
    <w:pPr>
      <w:pBdr/>
      <w:spacing/>
      <w:ind/>
    </w:pPr>
    <w:rPr>
      <w:color w:val="954f72" w:themeColor="followedHyperlink"/>
      <w:u w:val="single"/>
    </w:rPr>
  </w:style>
  <w:style w:type="paragraph" w:styleId="942">
    <w:name w:val="toc 1"/>
    <w:basedOn w:val="954"/>
    <w:next w:val="954"/>
    <w:uiPriority w:val="39"/>
    <w:unhideWhenUsed/>
    <w:pPr>
      <w:pBdr/>
      <w:spacing w:after="100"/>
      <w:ind/>
    </w:pPr>
  </w:style>
  <w:style w:type="paragraph" w:styleId="943">
    <w:name w:val="toc 2"/>
    <w:basedOn w:val="954"/>
    <w:next w:val="954"/>
    <w:uiPriority w:val="39"/>
    <w:unhideWhenUsed/>
    <w:pPr>
      <w:pBdr/>
      <w:spacing w:after="100"/>
      <w:ind w:left="220"/>
    </w:pPr>
  </w:style>
  <w:style w:type="paragraph" w:styleId="944">
    <w:name w:val="toc 3"/>
    <w:basedOn w:val="954"/>
    <w:next w:val="954"/>
    <w:uiPriority w:val="39"/>
    <w:unhideWhenUsed/>
    <w:pPr>
      <w:pBdr/>
      <w:spacing w:after="100"/>
      <w:ind w:left="440"/>
    </w:pPr>
  </w:style>
  <w:style w:type="paragraph" w:styleId="945">
    <w:name w:val="toc 4"/>
    <w:basedOn w:val="954"/>
    <w:next w:val="954"/>
    <w:uiPriority w:val="39"/>
    <w:unhideWhenUsed/>
    <w:pPr>
      <w:pBdr/>
      <w:spacing w:after="100"/>
      <w:ind w:left="660"/>
    </w:pPr>
  </w:style>
  <w:style w:type="paragraph" w:styleId="946">
    <w:name w:val="toc 5"/>
    <w:basedOn w:val="954"/>
    <w:next w:val="954"/>
    <w:uiPriority w:val="39"/>
    <w:unhideWhenUsed/>
    <w:pPr>
      <w:pBdr/>
      <w:spacing w:after="100"/>
      <w:ind w:left="880"/>
    </w:pPr>
  </w:style>
  <w:style w:type="paragraph" w:styleId="947">
    <w:name w:val="toc 6"/>
    <w:basedOn w:val="954"/>
    <w:next w:val="954"/>
    <w:uiPriority w:val="39"/>
    <w:unhideWhenUsed/>
    <w:pPr>
      <w:pBdr/>
      <w:spacing w:after="100"/>
      <w:ind w:left="1100"/>
    </w:pPr>
  </w:style>
  <w:style w:type="paragraph" w:styleId="948">
    <w:name w:val="toc 7"/>
    <w:basedOn w:val="954"/>
    <w:next w:val="954"/>
    <w:uiPriority w:val="39"/>
    <w:unhideWhenUsed/>
    <w:pPr>
      <w:pBdr/>
      <w:spacing w:after="100"/>
      <w:ind w:left="1320"/>
    </w:pPr>
  </w:style>
  <w:style w:type="paragraph" w:styleId="949">
    <w:name w:val="toc 8"/>
    <w:basedOn w:val="954"/>
    <w:next w:val="954"/>
    <w:uiPriority w:val="39"/>
    <w:unhideWhenUsed/>
    <w:pPr>
      <w:pBdr/>
      <w:spacing w:after="100"/>
      <w:ind w:left="1540"/>
    </w:pPr>
  </w:style>
  <w:style w:type="paragraph" w:styleId="950">
    <w:name w:val="toc 9"/>
    <w:basedOn w:val="954"/>
    <w:next w:val="954"/>
    <w:uiPriority w:val="39"/>
    <w:unhideWhenUsed/>
    <w:pPr>
      <w:pBdr/>
      <w:spacing w:after="100"/>
      <w:ind w:left="1760"/>
    </w:pPr>
  </w:style>
  <w:style w:type="character" w:styleId="951">
    <w:name w:val="Placeholder Text"/>
    <w:basedOn w:val="904"/>
    <w:uiPriority w:val="99"/>
    <w:semiHidden/>
    <w:pPr>
      <w:pBdr/>
      <w:spacing/>
      <w:ind/>
    </w:pPr>
    <w:rPr>
      <w:color w:val="666666"/>
    </w:rPr>
  </w:style>
  <w:style w:type="paragraph" w:styleId="952">
    <w:name w:val="TOC Heading"/>
    <w:uiPriority w:val="39"/>
    <w:unhideWhenUsed/>
    <w:pPr>
      <w:pBdr/>
      <w:spacing/>
      <w:ind/>
    </w:pPr>
  </w:style>
  <w:style w:type="paragraph" w:styleId="953">
    <w:name w:val="table of figures"/>
    <w:basedOn w:val="954"/>
    <w:next w:val="954"/>
    <w:uiPriority w:val="99"/>
    <w:unhideWhenUsed/>
    <w:pPr>
      <w:pBdr/>
      <w:spacing w:after="0" w:afterAutospacing="0"/>
      <w:ind/>
    </w:pPr>
  </w:style>
  <w:style w:type="paragraph" w:styleId="954" w:default="1">
    <w:name w:val="Normal"/>
    <w:qFormat/>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paragraph" w:styleId="957">
    <w:name w:val="No Spacing"/>
    <w:basedOn w:val="954"/>
    <w:uiPriority w:val="1"/>
    <w:qFormat/>
    <w:pPr>
      <w:pBdr/>
      <w:spacing w:after="0" w:line="240" w:lineRule="auto"/>
      <w:ind/>
    </w:pPr>
  </w:style>
  <w:style w:type="paragraph" w:styleId="958">
    <w:name w:val="List Paragraph"/>
    <w:basedOn w:val="95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2026-01-20T14:52:04Z</dcterms:modified>
</cp:coreProperties>
</file>