
<file path=[Content_Types].xml><?xml version="1.0" encoding="utf-8"?>
<Types xmlns="http://schemas.openxmlformats.org/package/2006/content-types">
  <Default Extension="jpg" ContentType="image/jpeg"/>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header2.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4EF72DB">
      <w:pPr>
        <w:pBdr/>
        <w:spacing/>
        <w:ind/>
        <w:rPr>
          <w:rFonts w:asciiTheme="minorHAnsi" w:hAnsiTheme="minorHAnsi" w:cstheme="minorHAnsi"/>
        </w:rPr>
      </w:pPr>
      <w:r>
        <w:rPr>
          <w:rFonts w:asciiTheme="minorHAnsi" w:hAnsiTheme="minorHAnsi" w:cstheme="minorHAnsi"/>
        </w:rPr>
      </w:r>
      <w:r>
        <w:rPr>
          <w:rFonts w:asciiTheme="minorHAnsi" w:hAnsiTheme="minorHAnsi" w:cstheme="minorHAnsi"/>
        </w:rPr>
      </w:r>
      <w:r>
        <w:rPr>
          <w:rFonts w:asciiTheme="minorHAnsi" w:hAnsiTheme="minorHAnsi" w:cstheme="minorHAnsi"/>
        </w:rPr>
      </w:r>
    </w:p>
    <w:p w14:paraId="7E1238AE">
      <w:pPr>
        <w:pBdr/>
        <w:spacing/>
        <w:ind/>
        <w:jc w:val="center"/>
        <w:rPr>
          <w:b/>
          <w:bCs/>
        </w:rPr>
      </w:pPr>
      <w:r>
        <w:rPr>
          <w:b/>
          <w:bCs/>
        </w:rPr>
        <w:t xml:space="preserve">PROPUESTA PARA LA CREACIÓN DEL SISTEMA PROVINCIAL INTEGRADO DE GESTIÓN DE GUARDIAS MÉDICAS (SIGMA-NQN</w:t>
      </w:r>
      <w:r>
        <w:rPr>
          <w:b/>
          <w:bCs/>
          <w:lang w:val="es-AR"/>
        </w:rPr>
        <w:t xml:space="preserve">)</w:t>
      </w:r>
      <w:r>
        <w:rPr>
          <w:b/>
          <w:bCs/>
        </w:rPr>
      </w:r>
      <w:r>
        <w:rPr>
          <w:b/>
          <w:bCs/>
        </w:rPr>
      </w:r>
    </w:p>
    <w:p w14:paraId="16ED097D">
      <w:pPr>
        <w:pBdr/>
        <w:spacing/>
        <w:ind/>
        <w:jc w:val="both"/>
        <w:rPr/>
      </w:pPr>
      <w:r>
        <w:t xml:space="preserve">Hacia una atención unificada, eficiente y equitativa en las Guardias de la Provincia del Neuquén</w:t>
      </w:r>
      <w:r/>
      <w:r/>
    </w:p>
    <w:p w14:paraId="49769895">
      <w:pPr>
        <w:pBdr/>
        <w:spacing/>
        <w:ind/>
        <w:jc w:val="both"/>
        <w:rPr/>
      </w:pPr>
      <w:r>
        <w:t xml:space="preserve">DESTINATARIO:</w:t>
      </w:r>
      <w:r/>
      <w:r/>
    </w:p>
    <w:p w14:paraId="05881AB3">
      <w:pPr>
        <w:pBdr/>
        <w:spacing/>
        <w:ind/>
        <w:jc w:val="both"/>
        <w:rPr/>
      </w:pPr>
      <w:r>
        <w:t xml:space="preserve">Sr. Ministro de Salud, Dr. Martín Regueiro</w:t>
      </w:r>
      <w:r/>
      <w:r/>
    </w:p>
    <w:p w14:paraId="5ABC0D2C">
      <w:pPr>
        <w:pBdr/>
        <w:spacing/>
        <w:ind/>
        <w:jc w:val="both"/>
        <w:rPr/>
      </w:pPr>
      <w:r>
        <w:t xml:space="preserve">Ministerio de Salud - Provincia del Neuquén</w:t>
      </w:r>
      <w:r/>
      <w:r/>
    </w:p>
    <w:p w14:paraId="56C88342">
      <w:pPr>
        <w:pBdr/>
        <w:spacing/>
        <w:ind/>
        <w:jc w:val="both"/>
        <w:rPr/>
      </w:pPr>
      <w:r>
        <w:t xml:space="preserve">FECHA: 20 de </w:t>
      </w:r>
      <w:r>
        <w:rPr>
          <w:lang w:val="es-AR"/>
        </w:rPr>
        <w:t xml:space="preserve">Enero</w:t>
      </w:r>
      <w:r>
        <w:t xml:space="preserve"> de 202</w:t>
      </w:r>
      <w:r>
        <w:rPr>
          <w:lang w:val="es-AR"/>
        </w:rPr>
        <w:t xml:space="preserve">6</w:t>
      </w:r>
      <w:r/>
      <w:r/>
    </w:p>
    <w:p w14:paraId="39CBBE84">
      <w:pPr>
        <w:pBdr/>
        <w:spacing/>
        <w:ind/>
        <w:jc w:val="both"/>
        <w:rPr>
          <w:highlight w:val="none"/>
        </w:rPr>
      </w:pPr>
      <w:r>
        <w:t xml:space="preserve">VERSIÓN: 1.0</w:t>
      </w:r>
      <w:r>
        <w:rPr>
          <w:highlight w:val="none"/>
        </w:rPr>
      </w:r>
      <w:r>
        <w:rPr>
          <w:highlight w:val="none"/>
        </w:rPr>
      </w:r>
    </w:p>
    <w:p w14:paraId="01449946">
      <w:pPr>
        <w:pBdr/>
        <w:spacing/>
        <w:ind/>
        <w:rPr/>
      </w:pPr>
      <w:r>
        <w:rPr>
          <w:rFonts w:asciiTheme="minorHAnsi" w:hAnsiTheme="minorHAnsi" w:cstheme="minorHAnsi"/>
          <w:lang w:val="undefined" w:bidi="undefined"/>
        </w:rPr>
      </w:r>
      <w:r>
        <w:t xml:space="preserve">RESUMEN EJECUTIVO</w:t>
      </w:r>
      <w:r/>
      <w:r/>
    </w:p>
    <w:p w14:paraId="4A365EA0">
      <w:pPr>
        <w:pBdr/>
        <w:spacing/>
        <w:ind/>
        <w:jc w:val="both"/>
        <w:rPr/>
      </w:pPr>
      <w:r/>
      <w:r/>
      <w:r/>
    </w:p>
    <w:p w14:paraId="4551C21C">
      <w:pPr>
        <w:pBdr/>
        <w:spacing/>
        <w:ind/>
        <w:jc w:val="both"/>
        <w:rPr/>
      </w:pPr>
      <w:r>
        <w:rPr>
          <w:b/>
          <w:bCs/>
        </w:rPr>
        <w:t xml:space="preserve">Situación Actual Crítica:</w:t>
      </w:r>
      <w:r>
        <w:t xml:space="preserve"> La red de guardias médicas de la Provincia del Neuquén opera en un estado de fragmentación clínica, operativa y tecnológica. Cada hospital o centro de salud aplica criterios de triage, protocolos de atención y sistemas de r</w:t>
      </w:r>
      <w:r>
        <w:t xml:space="preserve">e</w:t>
      </w:r>
      <w:r>
        <w:t xml:space="preserve">gistro de información propios y desconectados entre sí. Esta falta de estandarización y visibilidad genera ineficiencias severas: saturación desbalanceada de algunas guardias mientras otras tienen capacidad ociosa, tiempos de espera excesivos y variables, </w:t>
      </w:r>
      <w:r>
        <w:t xml:space="preserve">duplicación de estudios y una pérdida de la capacidad del Ministerio para dirigir y optimizar el flujo de pacientes urgentes en el territorio. El ciudadano enfrenta una lotería geográfica en la calidad y celeridad de la respuesta.</w:t>
      </w:r>
      <w:r/>
      <w:r/>
    </w:p>
    <w:p w14:paraId="43BA6899">
      <w:pPr>
        <w:pBdr/>
        <w:spacing/>
        <w:ind/>
        <w:jc w:val="both"/>
        <w:rPr/>
      </w:pPr>
      <w:r>
        <w:rPr>
          <w:b/>
          <w:bCs/>
        </w:rPr>
        <w:t xml:space="preserve">Solución Propuesta:</w:t>
      </w:r>
      <w:r>
        <w:t xml:space="preserve"> Se propone el desarrollo e implementación del Sistema Provincial Integrado de Gestión de Guardias Médicas (SIGMA-NQN). Este sistema se fundamenta en dos pilares estratégicos:</w:t>
      </w:r>
      <w:r/>
      <w:r/>
    </w:p>
    <w:p w14:paraId="0CB68F14">
      <w:pPr>
        <w:pBdr/>
        <w:spacing/>
        <w:ind/>
        <w:jc w:val="both"/>
        <w:rPr/>
      </w:pPr>
      <w:r>
        <w:t xml:space="preserve">1.  La unificación obligatoria de criterios y protocolos clínicos en todas las guardias de la provincia, comenzando por un sistema de triage estandarizado.</w:t>
      </w:r>
      <w:r/>
      <w:r/>
    </w:p>
    <w:p w14:paraId="1E65CEA2">
      <w:pPr>
        <w:pBdr/>
        <w:spacing/>
        <w:ind/>
        <w:jc w:val="both"/>
        <w:rPr/>
      </w:pPr>
      <w:r>
        <w:t xml:space="preserve">2.  La creación de una plataforma tecnológica de integración centralizada que interconecte, sin reemplazarlos, los sistemas de gestión de las guardias de todos los establecimientos públicos, brindando una visibilidad unificada y en tiempo real de la</w:t>
      </w:r>
      <w:r>
        <w:t xml:space="preserve"> situación provincial.</w:t>
      </w:r>
      <w:r/>
      <w:r/>
    </w:p>
    <w:p w14:paraId="694A9C8C">
      <w:pPr>
        <w:pBdr/>
        <w:spacing/>
        <w:ind/>
        <w:jc w:val="both"/>
        <w:rPr/>
      </w:pPr>
      <w:r>
        <w:t xml:space="preserve">El núcleo del sistema será un Centro de Monitoreo y Apoyo Clínico (CMAC), dependiente del Ministerio, que permitirá redistribuir pacientes entre guardias, supervisar la aplicación de protocolos y tomar decisiones con datos integrales.</w:t>
      </w:r>
      <w:r/>
      <w:r/>
    </w:p>
    <w:p w14:paraId="4F622AA9">
      <w:pPr>
        <w:pBdr/>
        <w:shd w:val="nil"/>
        <w:spacing/>
        <w:ind/>
        <w:rPr>
          <w:rFonts w:asciiTheme="minorHAnsi" w:hAnsiTheme="minorHAnsi" w:cstheme="minorHAnsi"/>
        </w:rPr>
      </w:pPr>
      <w:r>
        <w:rPr>
          <w:rFonts w:asciiTheme="minorHAnsi" w:hAnsiTheme="minorHAnsi" w:cstheme="minorHAnsi"/>
        </w:rPr>
        <w:br w:type="page" w:clear="all"/>
      </w:r>
      <w:r>
        <w:rPr>
          <w:rFonts w:asciiTheme="minorHAnsi" w:hAnsiTheme="minorHAnsi" w:cstheme="minorHAnsi"/>
        </w:rPr>
      </w:r>
      <w:r>
        <w:rPr>
          <w:rFonts w:asciiTheme="minorHAnsi" w:hAnsiTheme="minorHAnsi" w:cstheme="minorHAnsi"/>
        </w:rPr>
      </w:r>
    </w:p>
    <w:p w14:paraId="3AF475C5">
      <w:pPr>
        <w:pBdr/>
        <w:spacing/>
        <w:ind/>
        <w:jc w:val="center"/>
        <w:rPr>
          <w:b/>
          <w:bCs/>
        </w:rPr>
      </w:pPr>
      <w:r>
        <w:rPr>
          <w:b/>
          <w:bCs/>
        </w:rPr>
        <w:t xml:space="preserve">BENEFICIOS CLAVE ESPERADOS:</w:t>
      </w:r>
      <w:r>
        <w:rPr>
          <w:b/>
          <w:bCs/>
        </w:rPr>
      </w:r>
      <w:r>
        <w:rPr>
          <w:b/>
          <w:bCs/>
        </w:rPr>
      </w:r>
    </w:p>
    <w:p w14:paraId="3F5668D9">
      <w:pPr>
        <w:pBdr/>
        <w:spacing/>
        <w:ind/>
        <w:jc w:val="both"/>
        <w:rPr/>
      </w:pPr>
      <w:r>
        <w:rPr>
          <w:lang w:val="es-AR"/>
        </w:rPr>
        <w:t xml:space="preserve">1</w:t>
      </w:r>
      <w:r>
        <w:t xml:space="preserve">  Para la Gestión Ministerial: Recuperación de la rectoría efectiva sobre la red de urgencias, datos consolidados para la planificación, optimización de la capacidad instalada y detección temprana de crisis sanitarias.</w:t>
      </w:r>
      <w:r/>
      <w:r/>
    </w:p>
    <w:p w14:paraId="1F802834">
      <w:pPr>
        <w:pBdr/>
        <w:spacing/>
        <w:ind/>
        <w:jc w:val="both"/>
        <w:rPr/>
      </w:pPr>
      <w:r>
        <w:rPr>
          <w:lang w:val="es-AR"/>
        </w:rPr>
        <w:t xml:space="preserve">2</w:t>
      </w:r>
      <w:r>
        <w:t xml:space="preserve"> Para la Población: Reducción y homogenización de los tiempos de espera, garantía de un estándar mínimo de atención clínica independientemente del punto de entrada, y derivación ágil a la guardia con capacidad y especialidad adecuada.</w:t>
      </w:r>
      <w:r/>
      <w:r/>
    </w:p>
    <w:p w14:paraId="13122A67">
      <w:pPr>
        <w:pBdr/>
        <w:spacing/>
        <w:ind/>
        <w:jc w:val="both"/>
        <w:rPr/>
      </w:pPr>
      <w:r>
        <w:rPr>
          <w:lang w:val="es-AR"/>
        </w:rPr>
        <w:t xml:space="preserve">3</w:t>
      </w:r>
      <w:r>
        <w:t xml:space="preserve"> Para el Sistema Sanitario: Descompresión inteligente de guardias saturadas, mejor uso de los recursos diagnósticos y humanos, y creación de la base para la historia clínica digital única en el ámbito de la urgencia.</w:t>
      </w:r>
      <w:r/>
      <w:r/>
    </w:p>
    <w:p w14:paraId="6CD14BC0">
      <w:pPr>
        <w:pBdr/>
        <w:spacing/>
        <w:ind/>
        <w:jc w:val="both"/>
        <w:rPr/>
      </w:pPr>
      <w:r>
        <w:t xml:space="preserve">Inversión y Siguiente Paso Fundamental: La implementación requiere un abordaje por fases. El paso inmediato y crítico es la aprobación de una fase de diseño detallado y piloto (Fase 1). Para ello, se recomienda la creación formal de una Unidad Eje</w:t>
      </w:r>
      <w:r>
        <w:t xml:space="preserve">cutora del SIGMA-NQN mediante resolución ministerial, dotada de autoridad y recursos para iniciar este proyecto transformador.</w:t>
      </w:r>
      <w:r/>
      <w:r/>
    </w:p>
    <w:p w14:paraId="579D9D50">
      <w:pPr>
        <w:pBdr/>
        <w:spacing/>
        <w:ind/>
        <w:jc w:val="both"/>
        <w:rPr/>
      </w:pPr>
      <w:r/>
      <w:r/>
      <w:r/>
    </w:p>
    <w:p w14:paraId="75647C9C">
      <w:pPr>
        <w:pBdr/>
        <w:spacing/>
        <w:ind/>
        <w:jc w:val="both"/>
        <w:rPr/>
      </w:pPr>
      <w:r>
        <w:t xml:space="preserve">El SIGMA-NQN representa una inversión estratégica en gobernanza, equidad y calidad de la atención de urgencias para todos los neuquinos.</w:t>
      </w:r>
      <w:r/>
      <w:r/>
    </w:p>
    <w:p w14:paraId="0596E267" w14:textId="1ED47C59">
      <w:pPr>
        <w:pBdr/>
        <w:spacing/>
        <w:ind/>
        <w:rPr>
          <w:rFonts w:asciiTheme="minorHAnsi" w:hAnsiTheme="minorHAnsi" w:cstheme="minorHAnsi"/>
          <w:highlight w:val="none"/>
        </w:rPr>
      </w:pPr>
      <w:r>
        <w:rPr>
          <w:rFonts w:asciiTheme="minorHAnsi" w:hAnsiTheme="minorHAnsi" w:cstheme="minorHAnsi"/>
        </w:rPr>
        <w:br/>
        <w:br/>
      </w:r>
      <w:r>
        <w:rPr>
          <w:rFonts w:asciiTheme="minorHAnsi" w:hAnsiTheme="minorHAnsi" w:cstheme="minorHAnsi"/>
        </w:rPr>
      </w:r>
    </w:p>
    <w:p w14:paraId="5301AF3D">
      <w:pPr>
        <w:pBdr/>
        <w:shd w:val="nil"/>
        <w:spacing/>
        <w:ind/>
        <w:rPr>
          <w:rFonts w:asciiTheme="minorHAnsi" w:hAnsiTheme="minorHAnsi" w:cstheme="minorHAnsi"/>
        </w:rPr>
      </w:pPr>
      <w:r>
        <w:rPr>
          <w:rFonts w:asciiTheme="minorHAnsi" w:hAnsiTheme="minorHAnsi" w:cstheme="minorHAnsi"/>
        </w:rPr>
        <w:br w:type="page" w:clear="all"/>
      </w:r>
      <w:r>
        <w:rPr>
          <w:rFonts w:asciiTheme="minorHAnsi" w:hAnsiTheme="minorHAnsi" w:cstheme="minorHAnsi"/>
        </w:rPr>
      </w:r>
      <w:r>
        <w:rPr>
          <w:rFonts w:asciiTheme="minorHAnsi" w:hAnsiTheme="minorHAnsi" w:cstheme="minorHAnsi"/>
        </w:rPr>
      </w:r>
    </w:p>
    <w:p w14:paraId="4965CB69">
      <w:pPr>
        <w:pBdr>
          <w:top w:val="none" w:color="000000" w:sz="4" w:space="0"/>
          <w:left w:val="none" w:color="000000" w:sz="4" w:space="0"/>
          <w:bottom w:val="none" w:color="000000" w:sz="4" w:space="0"/>
          <w:right w:val="none" w:color="000000" w:sz="4" w:space="0"/>
        </w:pBdr>
        <w:spacing/>
        <w:ind/>
        <w:jc w:val="center"/>
        <w:rPr>
          <w:b/>
          <w:bCs/>
          <w14:ligatures w14:val="none"/>
        </w:rPr>
      </w:pPr>
      <w:r>
        <w:rPr>
          <w:b/>
          <w:bCs/>
          <w:lang w:val="undefined"/>
        </w:rPr>
        <w:t xml:space="preserve">INTRODUCCIÓN Y ANTECEDENTES CRÍTICOS</w:t>
      </w:r>
      <w:r>
        <w:rPr>
          <w:b/>
          <w:bCs/>
          <w:lang w:val="undefined" w:bidi="undefined"/>
        </w:rPr>
      </w:r>
      <w:r>
        <w:rPr>
          <w:b/>
          <w:bCs/>
          <w:lang w:val="undefined"/>
        </w:rPr>
      </w:r>
    </w:p>
    <w:p w14:paraId="6E4907F7">
      <w:pPr>
        <w:pBdr>
          <w:top w:val="none" w:color="000000" w:sz="4" w:space="0"/>
          <w:left w:val="none" w:color="000000" w:sz="4" w:space="0"/>
          <w:bottom w:val="none" w:color="000000" w:sz="4" w:space="0"/>
          <w:right w:val="none" w:color="000000" w:sz="4" w:space="0"/>
        </w:pBdr>
        <w:spacing/>
        <w:ind/>
        <w:jc w:val="both"/>
        <w:rPr>
          <w:b/>
          <w:bCs/>
          <w14:ligatures w14:val="none"/>
        </w:rPr>
      </w:pPr>
      <w:r>
        <w:rPr>
          <w:b/>
          <w:bCs/>
          <w:lang w:val="undefined"/>
        </w:rPr>
        <w:t xml:space="preserve">Panorama actual</w:t>
      </w:r>
      <w:r>
        <w:rPr>
          <w:b/>
          <w:bCs/>
          <w:lang w:val="undefined" w:bidi="undefined"/>
        </w:rPr>
      </w:r>
      <w:r>
        <w:rPr>
          <w:b/>
          <w:bCs/>
          <w:lang w:val="undefined"/>
        </w:rPr>
      </w:r>
    </w:p>
    <w:p w14:paraId="356E5024">
      <w:pPr>
        <w:pBdr>
          <w:top w:val="none" w:color="000000" w:sz="4" w:space="0"/>
          <w:left w:val="none" w:color="000000" w:sz="4" w:space="0"/>
          <w:bottom w:val="none" w:color="000000" w:sz="4" w:space="0"/>
          <w:right w:val="none" w:color="000000" w:sz="4" w:space="0"/>
        </w:pBdr>
        <w:spacing/>
        <w:ind/>
        <w:jc w:val="both"/>
        <w:rPr>
          <w14:ligatures w14:val="none"/>
        </w:rPr>
      </w:pPr>
      <w:r>
        <w:rPr>
          <w:lang w:val="undefined"/>
        </w:rPr>
        <w:t xml:space="preserve">El sistema de atención de urgencias y emergencias de la Provincia del Neuquén se desarrolla en un territorio extenso, con fuertes asimetrías geográficas, demográficas y de accesibilidad, organizado en regiones sanitarias con distintos niveles de complejida</w:t>
      </w:r>
      <w:r>
        <w:rPr>
          <w:lang w:val="undefined"/>
        </w:rPr>
        <w:t xml:space="preserve">d y capacidad resolutiva.</w:t>
      </w:r>
      <w:r>
        <w:rPr>
          <w:lang w:val="undefined" w:bidi="undefined"/>
        </w:rPr>
      </w:r>
      <w:r>
        <w:rPr>
          <w:lang w:val="undefined"/>
        </w:rPr>
      </w:r>
    </w:p>
    <w:p w14:paraId="26F32BFB">
      <w:pPr>
        <w:pBdr>
          <w:top w:val="none" w:color="000000" w:sz="4" w:space="0"/>
          <w:left w:val="none" w:color="000000" w:sz="4" w:space="0"/>
          <w:bottom w:val="none" w:color="000000" w:sz="4" w:space="0"/>
          <w:right w:val="none" w:color="000000" w:sz="4" w:space="0"/>
        </w:pBdr>
        <w:spacing/>
        <w:ind/>
        <w:jc w:val="both"/>
        <w:rPr>
          <w14:ligatures w14:val="none"/>
        </w:rPr>
      </w:pPr>
      <w:r>
        <w:rPr>
          <w:lang w:val="undefined"/>
        </w:rPr>
        <w:t xml:space="preserve">En este marco, la red pública provincial, los servicios municipales de ambulancias, los hospitales de referencia, los centros periféricos y los dispositivos de seguridad (incluyendo el sistema 911) operan con distintos grados de articulación, sin un modelo</w:t>
      </w:r>
      <w:r>
        <w:rPr>
          <w:lang w:val="undefined"/>
        </w:rPr>
        <w:t xml:space="preserve"> provincial único de coordinación en tiempo real.</w:t>
      </w:r>
      <w:r>
        <w:rPr>
          <w:lang w:val="undefined" w:bidi="undefined"/>
        </w:rPr>
      </w:r>
      <w:r>
        <w:rPr>
          <w:lang w:val="undefined"/>
        </w:rPr>
      </w:r>
    </w:p>
    <w:p w14:paraId="75C507CC">
      <w:pPr>
        <w:pBdr>
          <w:top w:val="none" w:color="000000" w:sz="4" w:space="0"/>
          <w:left w:val="none" w:color="000000" w:sz="4" w:space="0"/>
          <w:bottom w:val="none" w:color="000000" w:sz="4" w:space="0"/>
          <w:right w:val="none" w:color="000000" w:sz="4" w:space="0"/>
        </w:pBdr>
        <w:spacing/>
        <w:ind/>
        <w:jc w:val="both"/>
        <w:rPr>
          <w14:ligatures w14:val="none"/>
        </w:rPr>
      </w:pPr>
      <w:r>
        <w:rPr>
          <w:lang w:val="undefined"/>
        </w:rPr>
        <w:t xml:space="preserve">La ausencia de un sistema integrado de alcance provincial impide al Ministerio contar con una visión consolidada del funcionamiento de las guardias, la disponibilidad de ambulancias, la demanda asistencial y los flujos de derivación interhospitalaria, limi</w:t>
      </w:r>
      <w:r>
        <w:rPr>
          <w:lang w:val="undefined"/>
        </w:rPr>
        <w:t xml:space="preserve">tando la capacidad de planificación, monitoreo y respuesta ante contingencias sanitarias mayores.</w:t>
      </w:r>
      <w:r>
        <w:rPr>
          <w:lang w:val="undefined" w:bidi="undefined"/>
        </w:rPr>
      </w:r>
      <w:r>
        <w:rPr>
          <w:lang w:val="undefined"/>
        </w:rPr>
      </w:r>
    </w:p>
    <w:p w14:paraId="7B306550">
      <w:pPr>
        <w:pBdr>
          <w:top w:val="none" w:color="000000" w:sz="4" w:space="0"/>
          <w:left w:val="none" w:color="000000" w:sz="4" w:space="0"/>
          <w:bottom w:val="none" w:color="000000" w:sz="4" w:space="0"/>
          <w:right w:val="none" w:color="000000" w:sz="4" w:space="0"/>
        </w:pBdr>
        <w:spacing/>
        <w:ind/>
        <w:jc w:val="both"/>
        <w:rPr>
          <w:b/>
          <w:bCs/>
          <w14:ligatures w14:val="none"/>
        </w:rPr>
      </w:pPr>
      <w:r>
        <w:rPr>
          <w:b/>
          <w:bCs/>
          <w:lang w:val="undefined"/>
        </w:rPr>
        <w:t xml:space="preserve">Problemática desde tres dimensiones</w:t>
      </w:r>
      <w:r>
        <w:rPr>
          <w:b/>
          <w:bCs/>
          <w:lang w:val="undefined" w:bidi="undefined"/>
        </w:rPr>
      </w:r>
      <w:r>
        <w:rPr>
          <w:b/>
          <w:bCs/>
          <w:lang w:val="undefined"/>
        </w:rPr>
      </w:r>
    </w:p>
    <w:p w14:paraId="35308A77">
      <w:pPr>
        <w:pBdr>
          <w:top w:val="none" w:color="000000" w:sz="4" w:space="0"/>
          <w:left w:val="none" w:color="000000" w:sz="4" w:space="0"/>
          <w:bottom w:val="none" w:color="000000" w:sz="4" w:space="0"/>
          <w:right w:val="none" w:color="000000" w:sz="4" w:space="0"/>
        </w:pBdr>
        <w:spacing/>
        <w:ind/>
        <w:jc w:val="left"/>
        <w:rPr>
          <w14:ligatures w14:val="none"/>
        </w:rPr>
      </w:pPr>
      <w:r>
        <w:rPr>
          <w:b/>
          <w:bCs/>
          <w:lang w:val="undefined"/>
        </w:rPr>
        <w:t xml:space="preserve">Dimensión</w:t>
      </w:r>
      <w:r>
        <w:rPr>
          <w:b/>
          <w:bCs/>
          <w:lang w:val="es-AR"/>
        </w:rPr>
        <w:t xml:space="preserve"> C</w:t>
      </w:r>
      <w:r>
        <w:rPr>
          <w:b/>
          <w:bCs/>
        </w:rPr>
        <w:t xml:space="preserve">línica</w:t>
      </w:r>
      <w:r>
        <w:rPr>
          <w:lang w:val="es-AR"/>
        </w:rPr>
        <w:t xml:space="preserve">:</w:t>
      </w:r>
      <w:r>
        <w:rPr>
          <w:lang w:val="undefined"/>
        </w:rPr>
        <w:t xml:space="preserve">La ausencia de protocolos provinciales únicos de triage y derivación genera variabilidad en la toma de decisiones clínicas iniciales, con impacto en la seguridad del paciente y en la equidad del acceso a cuidados oportunos.</w:t>
      </w:r>
      <w:r>
        <w:rPr>
          <w:lang w:val="undefined" w:bidi="undefined"/>
        </w:rPr>
      </w:r>
      <w:r>
        <w:rPr>
          <w:lang w:val="undefined"/>
        </w:rPr>
      </w:r>
    </w:p>
    <w:p w14:paraId="1ACD9CA9">
      <w:pPr>
        <w:pBdr>
          <w:top w:val="none" w:color="000000" w:sz="4" w:space="0"/>
          <w:left w:val="none" w:color="000000" w:sz="4" w:space="0"/>
          <w:bottom w:val="none" w:color="000000" w:sz="4" w:space="0"/>
          <w:right w:val="none" w:color="000000" w:sz="4" w:space="0"/>
        </w:pBdr>
        <w:spacing/>
        <w:ind/>
        <w:jc w:val="left"/>
        <w:rPr>
          <w14:ligatures w14:val="none"/>
        </w:rPr>
      </w:pPr>
      <w:r>
        <w:rPr>
          <w:b/>
          <w:bCs/>
          <w:lang w:val="undefined"/>
        </w:rPr>
        <w:t xml:space="preserve">Dimensión operativa</w:t>
      </w:r>
      <w:r>
        <w:rPr>
          <w:lang w:val="es-AR"/>
        </w:rPr>
        <w:t xml:space="preserve">:</w:t>
      </w:r>
      <w:r>
        <w:rPr>
          <w:lang w:val="undefined"/>
        </w:rPr>
        <w:t xml:space="preserve">La coordinación de ambulancias y derivaciones interhospitalarias depende en gran medida de contactos informales, llamados telefónicos y decisiones locales, lo que dificulta la priorización basada en criterios objetivos y la visión integral del sistema.</w:t>
      </w:r>
      <w:r>
        <w:rPr>
          <w:lang w:val="undefined" w:bidi="undefined"/>
        </w:rPr>
      </w:r>
      <w:r>
        <w:rPr>
          <w:lang w:val="undefined"/>
        </w:rPr>
      </w:r>
    </w:p>
    <w:p w14:paraId="3009883F">
      <w:pPr>
        <w:pBdr>
          <w:top w:val="none" w:color="000000" w:sz="4" w:space="0"/>
          <w:left w:val="none" w:color="000000" w:sz="4" w:space="0"/>
          <w:bottom w:val="none" w:color="000000" w:sz="4" w:space="0"/>
          <w:right w:val="none" w:color="000000" w:sz="4" w:space="0"/>
        </w:pBdr>
        <w:spacing/>
        <w:ind/>
        <w:jc w:val="left"/>
        <w:rPr>
          <w14:ligatures w14:val="none"/>
        </w:rPr>
      </w:pPr>
      <w:r>
        <w:rPr>
          <w:b/>
          <w:bCs/>
          <w:lang w:val="undefined"/>
        </w:rPr>
        <w:t xml:space="preserve">Dimensión</w:t>
      </w:r>
      <w:r>
        <w:rPr>
          <w:b/>
          <w:bCs/>
          <w:lang w:val="es-AR"/>
        </w:rPr>
        <w:t xml:space="preserve"> </w:t>
      </w:r>
      <w:r>
        <w:rPr>
          <w:b/>
          <w:bCs/>
        </w:rPr>
        <w:t xml:space="preserve">tecnológica</w:t>
      </w:r>
      <w:r>
        <w:rPr>
          <w:b/>
          <w:bCs/>
          <w:lang w:val="es-AR"/>
        </w:rPr>
        <w:t xml:space="preserve">:</w:t>
      </w:r>
      <w:r>
        <w:rPr>
          <w:lang w:val="es-AR"/>
        </w:rPr>
        <w:t xml:space="preserve"> </w:t>
      </w:r>
      <w:r>
        <w:rPr>
          <w:lang w:val="undefined"/>
        </w:rPr>
        <w:t xml:space="preserve">Los sistemas existentes funcionan como “islas de información”. No existe una capa provincial que integre datos en tiempo real sobre demanda, disponibilidad de recursos y capacidad resolutiva, limitando la gestión estratégica y operativa del Ministerio.</w:t>
      </w:r>
      <w:r>
        <w:rPr>
          <w:lang w:val="undefined" w:bidi="undefined"/>
        </w:rPr>
      </w:r>
      <w:r>
        <w:rPr>
          <w:lang w:val="undefined"/>
        </w:rPr>
      </w:r>
    </w:p>
    <w:p w14:paraId="165BDB79">
      <w:pPr>
        <w:pBdr>
          <w:top w:val="none" w:color="000000" w:sz="4" w:space="0"/>
          <w:left w:val="none" w:color="000000" w:sz="4" w:space="0"/>
          <w:bottom w:val="none" w:color="000000" w:sz="4" w:space="0"/>
          <w:right w:val="none" w:color="000000" w:sz="4" w:space="0"/>
        </w:pBdr>
        <w:spacing/>
        <w:ind/>
        <w:jc w:val="center"/>
        <w:rPr>
          <w:b/>
          <w:bCs/>
          <w:highlight w:val="none"/>
          <w14:ligatures w14:val="none"/>
        </w:rPr>
      </w:pPr>
      <w:r>
        <w:rPr>
          <w:b/>
          <w:bCs/>
          <w:lang w:val="undefined"/>
        </w:rPr>
        <w:t xml:space="preserve">RIESGOS ASOCIADOS</w:t>
      </w:r>
      <w:r>
        <w:rPr>
          <w:b/>
          <w:bCs/>
          <w:lang w:val="undefined" w:bidi="undefined"/>
        </w:rPr>
      </w:r>
      <w:r>
        <w:rPr>
          <w:b/>
          <w:bCs/>
          <w:lang w:val="undefined"/>
        </w:rPr>
      </w:r>
    </w:p>
    <w:p w14:paraId="34BDFA25">
      <w:pPr>
        <w:pBdr>
          <w:top w:val="none" w:color="000000" w:sz="4" w:space="0"/>
          <w:left w:val="none" w:color="000000" w:sz="4" w:space="0"/>
          <w:bottom w:val="none" w:color="000000" w:sz="4" w:space="0"/>
          <w:right w:val="none" w:color="000000" w:sz="4" w:space="0"/>
        </w:pBdr>
        <w:spacing/>
        <w:ind/>
        <w:jc w:val="both"/>
        <w:rPr>
          <w:highlight w:val="none"/>
          <w14:ligatures w14:val="none"/>
        </w:rPr>
      </w:pPr>
      <w:r>
        <w:rPr>
          <w:lang w:val="undefined"/>
        </w:rPr>
        <w:t xml:space="preserve">Este escenario incrementa el riesgo de demoras en la atención, traslados inadecuados, saturación evitable de guardias y una pérdida de capacidad del nivel central para monitorear, planificar y mejorar el sistema de emergencias médicas.</w:t>
      </w:r>
      <w:r>
        <w:rPr>
          <w:lang w:val="undefined" w:bidi="undefined"/>
        </w:rPr>
      </w:r>
      <w:r/>
      <w:r/>
      <w:r/>
    </w:p>
    <w:p w14:paraId="1BC6BC32">
      <w:pPr>
        <w:pBdr/>
        <w:shd w:val="nil"/>
        <w:spacing/>
        <w:ind/>
        <w:rPr>
          <w14:ligatures w14:val="none"/>
        </w:rPr>
      </w:pPr>
      <w:r>
        <w:br w:type="page" w:clear="all"/>
      </w:r>
      <w:r/>
      <w:r/>
    </w:p>
    <w:p w14:paraId="15A9C87A">
      <w:pPr>
        <w:pBdr>
          <w:top w:val="none" w:color="000000" w:sz="4" w:space="0"/>
          <w:left w:val="none" w:color="000000" w:sz="4" w:space="0"/>
          <w:bottom w:val="none" w:color="000000" w:sz="4" w:space="0"/>
          <w:right w:val="none" w:color="000000" w:sz="4" w:space="0"/>
        </w:pBdr>
        <w:spacing/>
        <w:ind/>
        <w:jc w:val="both"/>
        <w:rPr>
          <w14:ligatures w14:val="none"/>
        </w:rPr>
      </w:pPr>
      <w:r>
        <w:rPr>
          <w:highlight w:val="none"/>
        </w:rPr>
      </w:r>
      <w:r>
        <w:rPr>
          <w:highlight w:val="none"/>
        </w:rPr>
      </w:r>
      <w:r>
        <w:rPr>
          <w:highlight w:val="none"/>
        </w:rPr>
      </w:r>
    </w:p>
    <w:p w14:paraId="284D2715">
      <w:pPr>
        <w:pBdr>
          <w:top w:val="none" w:color="000000" w:sz="4" w:space="0"/>
          <w:left w:val="none" w:color="000000" w:sz="4" w:space="0"/>
          <w:bottom w:val="none" w:color="000000" w:sz="4" w:space="0"/>
          <w:right w:val="none" w:color="000000" w:sz="4" w:space="0"/>
        </w:pBdr>
        <w:spacing/>
        <w:ind/>
        <w:jc w:val="center"/>
        <w:rPr>
          <w:b/>
          <w:bCs/>
          <w14:ligatures w14:val="none"/>
        </w:rPr>
      </w:pPr>
      <w:r>
        <w:rPr>
          <w:b/>
          <w:bCs/>
          <w:lang w:val="undefined"/>
        </w:rPr>
        <w:t xml:space="preserve">PROPUESTA: SISTEMA SIGMA-NQN</w:t>
      </w:r>
      <w:r>
        <w:rPr>
          <w:b/>
          <w:bCs/>
          <w:lang w:val="undefined" w:bidi="undefined"/>
        </w:rPr>
      </w:r>
      <w:r>
        <w:rPr>
          <w:b/>
          <w:bCs/>
          <w:lang w:val="undefined"/>
        </w:rPr>
      </w:r>
    </w:p>
    <w:p w14:paraId="3EB50A44">
      <w:pPr>
        <w:pBdr>
          <w:top w:val="none" w:color="000000" w:sz="4" w:space="0"/>
          <w:left w:val="none" w:color="000000" w:sz="4" w:space="0"/>
          <w:bottom w:val="none" w:color="000000" w:sz="4" w:space="0"/>
          <w:right w:val="none" w:color="000000" w:sz="4" w:space="0"/>
        </w:pBdr>
        <w:spacing/>
        <w:ind/>
        <w:jc w:val="both"/>
        <w:rPr>
          <w:b/>
          <w:bCs/>
          <w14:ligatures w14:val="none"/>
        </w:rPr>
      </w:pPr>
      <w:r>
        <w:rPr>
          <w:b/>
          <w:bCs/>
          <w:lang w:val="undefined"/>
        </w:rPr>
        <w:t xml:space="preserve">Visión</w:t>
      </w:r>
      <w:r>
        <w:rPr>
          <w:b/>
          <w:bCs/>
          <w:lang w:val="undefined" w:bidi="undefined"/>
        </w:rPr>
      </w:r>
      <w:r>
        <w:rPr>
          <w:b/>
          <w:bCs/>
          <w:lang w:val="undefined"/>
        </w:rPr>
      </w:r>
    </w:p>
    <w:p w14:paraId="05D4C67D">
      <w:pPr>
        <w:pBdr>
          <w:top w:val="none" w:color="000000" w:sz="4" w:space="0"/>
          <w:left w:val="none" w:color="000000" w:sz="4" w:space="0"/>
          <w:bottom w:val="none" w:color="000000" w:sz="4" w:space="0"/>
          <w:right w:val="none" w:color="000000" w:sz="4" w:space="0"/>
        </w:pBdr>
        <w:spacing/>
        <w:ind/>
        <w:jc w:val="both"/>
        <w:rPr>
          <w14:ligatures w14:val="none"/>
        </w:rPr>
      </w:pPr>
      <w:r>
        <w:rPr>
          <w:lang w:val="undefined"/>
        </w:rPr>
        <w:t xml:space="preserve">Consolidar un </w:t>
      </w:r>
      <w:r>
        <w:rPr>
          <w:lang w:val="undefined"/>
        </w:rPr>
        <w:t xml:space="preserve">sistema provincial integrado de respuesta a emergencias médicas</w:t>
      </w:r>
      <w:r>
        <w:rPr>
          <w:lang w:val="undefined"/>
        </w:rPr>
        <w:t xml:space="preserve">, centrado en el paciente, con criterios clínicos unificados, coordinación operativa eficiente e interoperabilidad tecnológica, bajo la rectoría</w:t>
      </w:r>
      <w:r>
        <w:rPr>
          <w:lang w:val="undefined"/>
        </w:rPr>
        <w:t xml:space="preserve"> efectiva del Ministerio de Salud.</w:t>
      </w:r>
      <w:r>
        <w:rPr>
          <w:lang w:val="undefined" w:bidi="undefined"/>
        </w:rPr>
      </w:r>
      <w:r>
        <w:rPr>
          <w:lang w:val="undefined"/>
        </w:rPr>
      </w:r>
    </w:p>
    <w:p w14:paraId="6860ECF7">
      <w:pPr>
        <w:pBdr>
          <w:top w:val="none" w:color="000000" w:sz="4" w:space="0"/>
          <w:left w:val="none" w:color="000000" w:sz="4" w:space="0"/>
          <w:bottom w:val="none" w:color="000000" w:sz="4" w:space="0"/>
          <w:right w:val="none" w:color="000000" w:sz="4" w:space="0"/>
        </w:pBdr>
        <w:spacing/>
        <w:ind/>
        <w:jc w:val="both"/>
        <w:rPr>
          <w:highlight w:val="none"/>
          <w14:ligatures w14:val="none"/>
        </w:rPr>
      </w:pPr>
      <w:r>
        <w:rPr>
          <w:lang w:val="undefined" w:bidi="undefined"/>
        </w:rPr>
      </w:r>
      <w:r>
        <w:rPr>
          <w:lang w:val="undefined"/>
        </w:rPr>
        <w:t xml:space="preserve">Ser el sistema unificado de gestión y monitoreo de la red de guardias médicas de la Provincia del Neuquén, garantizando una atención urgente estandarizada, oportuna y equitativa para todos los ciudadanos, bajo la rectoría y supervisión efect</w:t>
      </w:r>
      <w:r>
        <w:rPr>
          <w:lang w:val="undefined"/>
        </w:rPr>
        <w:t xml:space="preserve">iva del Ministerio de Salud.</w:t>
      </w:r>
      <w:r>
        <w:rPr>
          <w:lang w:val="undefined" w:bidi="undefined"/>
        </w:rPr>
      </w:r>
      <w:r/>
    </w:p>
    <w:p w14:paraId="5C1379C0">
      <w:pPr>
        <w:pBdr/>
        <w:spacing/>
        <w:ind/>
        <w:jc w:val="both"/>
        <w:rPr/>
      </w:pPr>
      <w:r>
        <w:rPr>
          <w:b/>
          <w:bCs/>
        </w:rPr>
        <w:t xml:space="preserve">Objetivo General:</w:t>
      </w:r>
      <w:r>
        <w:t xml:space="preserve"> Implementar un sistema integrado de gestión de guardias médicas que, mediante la unificación de protocolos clínicos y una plataforma tecnológica de interoperabilidad centralizada, optimice el flujo de pacientes, homogenice la calid</w:t>
      </w:r>
      <w:r>
        <w:t xml:space="preserve">ad de la atención y fortalezca la capacidad de gobernanza del Ministerio sobre la red de urgencias.</w:t>
      </w:r>
      <w:r/>
      <w:r/>
    </w:p>
    <w:p w14:paraId="43957EAD">
      <w:pPr>
        <w:pBdr/>
        <w:spacing/>
        <w:ind/>
        <w:jc w:val="both"/>
        <w:rPr/>
      </w:pPr>
      <w:r/>
      <w:r/>
      <w:r/>
    </w:p>
    <w:p w14:paraId="29B65E6C">
      <w:pPr>
        <w:pBdr/>
        <w:spacing/>
        <w:ind/>
        <w:jc w:val="both"/>
        <w:rPr/>
      </w:pPr>
      <w:r>
        <w:t xml:space="preserve">  </w:t>
      </w:r>
      <w:r>
        <w:rPr>
          <w:b/>
          <w:bCs/>
        </w:rPr>
        <w:t xml:space="preserve"> Objetivos Específicos (Medibles):</w:t>
      </w:r>
      <w:r/>
      <w:r/>
    </w:p>
    <w:p w14:paraId="4FACD34B">
      <w:pPr>
        <w:pBdr/>
        <w:spacing/>
        <w:ind/>
        <w:jc w:val="both"/>
        <w:rPr/>
      </w:pPr>
      <w:r>
        <w:t xml:space="preserve">    1.  Implementar y certificar un protocolo de triage provincial único (ej., adaptación del sistema ATP) en el 100% de las guardias de establecimientos públicos de mediana y alta complejidad adheridos al sistema en 24 meses.</w:t>
      </w:r>
      <w:r/>
      <w:r/>
    </w:p>
    <w:p w14:paraId="42983A49">
      <w:pPr>
        <w:pBdr/>
        <w:spacing/>
        <w:ind/>
        <w:jc w:val="both"/>
        <w:rPr/>
      </w:pPr>
      <w:r>
        <w:t xml:space="preserve">    2.  Reducir la variabilidad injustificada en los tiempos de espera por categoría de triage entre establecimientos de similar complejidad en un 40% durante los primeros 18 meses del piloto.</w:t>
      </w:r>
      <w:r/>
      <w:r/>
    </w:p>
    <w:p w14:paraId="004BC01A">
      <w:pPr>
        <w:pBdr/>
        <w:spacing/>
        <w:ind/>
        <w:jc w:val="both"/>
        <w:rPr/>
      </w:pPr>
      <w:r>
        <w:t xml:space="preserve">    3.  Lograr la interoperabilidad técnica (intercambio automático de datos clave de guardia) entre el Centro de Monitoreo y el 90% de los hospitales de la red pública provincial en 30 meses.</w:t>
      </w:r>
      <w:r/>
      <w:r/>
    </w:p>
    <w:p w14:paraId="6F86CE5A">
      <w:pPr>
        <w:pBdr/>
        <w:spacing/>
        <w:ind/>
        <w:jc w:val="both"/>
        <w:rPr/>
      </w:pPr>
      <w:r>
        <w:t xml:space="preserve">    4.  Establecer un mecanismo formal de redistribución de carga entre guardias, utilizado en al menos el 80% de los episodios de saturación declarados.</w:t>
      </w:r>
      <w:r/>
      <w:r/>
    </w:p>
    <w:p w14:paraId="0C8DF5C6">
      <w:pPr>
        <w:pBdr/>
        <w:spacing/>
        <w:ind/>
        <w:jc w:val="both"/>
        <w:rPr>
          <w:highlight w:val="none"/>
        </w:rPr>
      </w:pPr>
      <w:r>
        <w:t xml:space="preserve">    5.  Generar un tablero de control (dashboard) unificado para el Ministerio, con al menos 8 indicadores clave de desempeño (KPIs) de las guardias en tiempo real.</w:t>
      </w:r>
      <w:r/>
      <w:r/>
      <w:r/>
    </w:p>
    <w:p w14:paraId="2EDB1906">
      <w:pPr>
        <w:pBdr/>
        <w:shd w:val="nil"/>
        <w:spacing/>
        <w:ind/>
        <w:rPr>
          <w:b/>
          <w:bCs/>
        </w:rPr>
      </w:pPr>
      <w:r>
        <w:rPr>
          <w:b/>
          <w:bCs/>
          <w:highlight w:val="none"/>
        </w:rPr>
        <w:br w:type="page" w:clear="all"/>
      </w:r>
      <w:r>
        <w:rPr>
          <w:b/>
          <w:bCs/>
          <w:highlight w:val="none"/>
        </w:rPr>
      </w:r>
      <w:r>
        <w:rPr>
          <w:b/>
          <w:bCs/>
          <w:highlight w:val="none"/>
        </w:rPr>
      </w:r>
    </w:p>
    <w:p w14:paraId="7E1EAB3A">
      <w:pPr>
        <w:pBdr/>
        <w:spacing/>
        <w:ind/>
        <w:jc w:val="both"/>
        <w:rPr>
          <w:b/>
          <w:bCs/>
          <w:highlight w:val="none"/>
        </w:rPr>
      </w:pPr>
      <w:r>
        <w:rPr>
          <w:b/>
          <w:bCs/>
        </w:rPr>
        <w:t xml:space="preserve">UNIFICACIÓN DE CRITERIOS Y PROTOCOLOS CLÍNICOS</w:t>
      </w:r>
      <w:r>
        <w:rPr>
          <w:b/>
          <w:bCs/>
        </w:rPr>
      </w:r>
      <w:r>
        <w:rPr>
          <w:b/>
          <w:bCs/>
        </w:rPr>
      </w:r>
    </w:p>
    <w:p w14:paraId="18E80931">
      <w:pPr>
        <w:pBdr/>
        <w:spacing/>
        <w:ind/>
        <w:jc w:val="both"/>
        <w:rPr/>
      </w:pPr>
      <w:r>
        <w:t xml:space="preserve">Este pilar busca garantizar un estándar de calidad clínica mínimo y uniforme en todas las guardias.</w:t>
      </w:r>
      <w:r/>
      <w:r/>
    </w:p>
    <w:p w14:paraId="3A0352B9">
      <w:pPr>
        <w:pBdr/>
        <w:spacing/>
        <w:ind/>
        <w:jc w:val="both"/>
        <w:rPr/>
      </w:pPr>
      <w:r>
        <w:t xml:space="preserve">   Protocolo Provincial Único de Triage de Urgencias: Desarrollo, validación e implementación obligatoria de un sistema estandarizado (recomendándose la adaptación del Sistema ATP - Australasian Triage Scale por su simplicidad y robustez). Incluirá</w:t>
      </w:r>
      <w:r>
        <w:t xml:space="preserve"> definiciones operativas claras para cada una de las 5 categorías, tiempos máximos de espera objetivo para cada una, y flujogramas de decisión.</w:t>
      </w:r>
      <w:r/>
      <w:r/>
    </w:p>
    <w:p w14:paraId="63869682">
      <w:pPr>
        <w:pBdr/>
        <w:spacing/>
        <w:ind/>
        <w:jc w:val="both"/>
        <w:rPr/>
      </w:pPr>
      <w:r>
        <w:t xml:space="preserve">   Guías de Práctica Clínica para el Manejo Inicial en Guardia: Desarrollo de protocolos provinciales para el abordaje inicial de las 20-30 causas de consulta más frecuentes en guardia (ej., dolor torácico, trauma leve, infecciones respiratorias agudas</w:t>
      </w:r>
      <w:r>
        <w:t xml:space="preserve">, dolor abdominal). El objetivo es reducir la variabilidad y asegurar un piso de calidad.</w:t>
      </w:r>
      <w:r/>
      <w:r/>
    </w:p>
    <w:p w14:paraId="2B4C0BE5">
      <w:pPr>
        <w:pBdr/>
        <w:spacing/>
        <w:ind/>
        <w:jc w:val="both"/>
        <w:rPr>
          <w:highlight w:val="none"/>
        </w:rPr>
      </w:pPr>
      <w:r>
        <w:t xml:space="preserve">   Plan de Capacitación Masiva y Certificación Obligatoria: Programa integral de formación para médicos, enfermeros y administrativos de todas las guardias en el nuevo sistema de triage y las guías de práctica. La certificación provincial será un r</w:t>
      </w:r>
      <w:r>
        <w:t xml:space="preserve">equisito para desempeñarse en la guardia de un establecimiento público adherido al SIGMA-NQN.</w:t>
      </w:r>
      <w:r/>
      <w:r/>
    </w:p>
    <w:p w14:paraId="44854D18">
      <w:pPr>
        <w:pBdr/>
        <w:spacing/>
        <w:ind/>
        <w:jc w:val="both"/>
        <w:rPr>
          <w:b/>
          <w:bCs/>
          <w:color w:val="ff0000"/>
        </w:rPr>
      </w:pPr>
      <w:r>
        <w:rPr>
          <w:b/>
          <w:bCs/>
          <w:color w:val="ff0000"/>
        </w:rPr>
        <w:t xml:space="preserve">REVISAR: Interoperabilidad Técnica Centralizada y Visibilidad Unificada</w:t>
      </w:r>
      <w:r>
        <w:rPr>
          <w:b/>
          <w:bCs/>
          <w:color w:val="ff0000"/>
        </w:rPr>
      </w:r>
      <w:r>
        <w:rPr>
          <w:b/>
          <w:bCs/>
          <w:color w:val="ff0000"/>
        </w:rPr>
      </w:r>
    </w:p>
    <w:p w14:paraId="36F3CDB2">
      <w:pPr>
        <w:pBdr/>
        <w:spacing/>
        <w:ind/>
        <w:jc w:val="both"/>
        <w:rPr/>
      </w:pPr>
      <w:r/>
      <w:r/>
      <w:r/>
    </w:p>
    <w:p w14:paraId="235D2FA2">
      <w:pPr>
        <w:pBdr/>
        <w:spacing/>
        <w:ind/>
        <w:jc w:val="both"/>
        <w:rPr>
          <w:color w:val="ff0000"/>
        </w:rPr>
      </w:pPr>
      <w:r>
        <w:rPr>
          <w:color w:val="ff0000"/>
        </w:rPr>
        <w:t xml:space="preserve">Filosofía clave: Conectar, no reemplazar. Se respetará la inversión existente en software hospitalario.</w:t>
      </w:r>
      <w:r>
        <w:rPr>
          <w:color w:val="ff0000"/>
        </w:rPr>
      </w:r>
      <w:r>
        <w:rPr>
          <w:color w:val="ff0000"/>
        </w:rPr>
      </w:r>
    </w:p>
    <w:p w14:paraId="2E289C77">
      <w:pPr>
        <w:pBdr/>
        <w:spacing/>
        <w:ind/>
        <w:jc w:val="both"/>
        <w:rPr>
          <w:color w:val="ff0000"/>
        </w:rPr>
      </w:pPr>
      <w:r>
        <w:rPr>
          <w:color w:val="ff0000"/>
        </w:rPr>
        <w:t xml:space="preserve">   Arquitectura de Plataforma de Integración (Bus de Servicios de Guardia): Se desarrollará una plataforma central que actuará como el "espejo unificador" de todas las guardias. Esta plataforma se conectará mediante interfaces estandarizadas (API</w:t>
      </w:r>
      <w:r>
        <w:rPr>
          <w:color w:val="ff0000"/>
        </w:rPr>
        <w:t xml:space="preserve">s) a los Sistemas de Gestión Hospitalaria (HIS) o módulos de guardia de cada establecimiento.</w:t>
      </w:r>
      <w:r>
        <w:rPr>
          <w:color w:val="ff0000"/>
        </w:rPr>
      </w:r>
      <w:r>
        <w:rPr>
          <w:color w:val="ff0000"/>
        </w:rPr>
      </w:r>
    </w:p>
    <w:p w14:paraId="3A00956E">
      <w:pPr>
        <w:pBdr/>
        <w:spacing/>
        <w:ind/>
        <w:jc w:val="both"/>
        <w:rPr>
          <w:color w:val="ff0000"/>
        </w:rPr>
      </w:pPr>
      <w:r>
        <w:rPr>
          <w:color w:val="ff0000"/>
        </w:rPr>
        <w:t xml:space="preserve">   Datos Críticos a Interoperar: La plataforma SIGMA-NQN recibirá y consolidará automáticamente información clave de cada guardia:</w:t>
      </w:r>
      <w:r>
        <w:rPr>
          <w:color w:val="ff0000"/>
        </w:rPr>
      </w:r>
      <w:r>
        <w:rPr>
          <w:color w:val="ff0000"/>
        </w:rPr>
      </w:r>
    </w:p>
    <w:p w14:paraId="66A0CDE5">
      <w:pPr>
        <w:pBdr/>
        <w:spacing/>
        <w:ind/>
        <w:jc w:val="both"/>
        <w:rPr>
          <w:color w:val="ff0000"/>
        </w:rPr>
      </w:pPr>
      <w:r>
        <w:rPr>
          <w:color w:val="ff0000"/>
        </w:rPr>
        <w:t xml:space="preserve">       Número de pacientes en espera, clasificados por categoría de triage.</w:t>
      </w:r>
      <w:r>
        <w:rPr>
          <w:color w:val="ff0000"/>
        </w:rPr>
      </w:r>
      <w:r>
        <w:rPr>
          <w:color w:val="ff0000"/>
        </w:rPr>
      </w:r>
    </w:p>
    <w:p w14:paraId="489D3928">
      <w:pPr>
        <w:pBdr/>
        <w:spacing/>
        <w:ind/>
        <w:jc w:val="both"/>
        <w:rPr>
          <w:color w:val="ff0000"/>
        </w:rPr>
      </w:pPr>
      <w:r>
        <w:rPr>
          <w:color w:val="ff0000"/>
        </w:rPr>
        <w:t xml:space="preserve">       Tiempo de espera actual por categoría.</w:t>
      </w:r>
      <w:r>
        <w:rPr>
          <w:color w:val="ff0000"/>
        </w:rPr>
      </w:r>
      <w:r>
        <w:rPr>
          <w:color w:val="ff0000"/>
        </w:rPr>
      </w:r>
    </w:p>
    <w:p w14:paraId="7DE13DA7">
      <w:pPr>
        <w:pBdr/>
        <w:spacing/>
        <w:ind/>
        <w:jc w:val="both"/>
        <w:rPr>
          <w:color w:val="ff0000"/>
        </w:rPr>
      </w:pPr>
      <w:r>
        <w:rPr>
          <w:color w:val="ff0000"/>
        </w:rPr>
        <w:t xml:space="preserve">       Motivo de consulta principal (codificado).</w:t>
      </w:r>
      <w:r>
        <w:rPr>
          <w:color w:val="ff0000"/>
        </w:rPr>
      </w:r>
      <w:r>
        <w:rPr>
          <w:color w:val="ff0000"/>
        </w:rPr>
      </w:r>
    </w:p>
    <w:p w14:paraId="78DBEB9B">
      <w:pPr>
        <w:pBdr/>
        <w:spacing/>
        <w:ind/>
        <w:jc w:val="both"/>
        <w:rPr>
          <w:color w:val="ff0000"/>
        </w:rPr>
      </w:pPr>
      <w:r>
        <w:rPr>
          <w:color w:val="ff0000"/>
        </w:rPr>
        <w:t xml:space="preserve">       Recursos disponibles en la guardia (camas de observación, profesionales).</w:t>
      </w:r>
      <w:r>
        <w:rPr>
          <w:color w:val="ff0000"/>
        </w:rPr>
      </w:r>
      <w:r>
        <w:rPr>
          <w:color w:val="ff0000"/>
        </w:rPr>
      </w:r>
    </w:p>
    <w:p w14:paraId="6FF8E5D5">
      <w:pPr>
        <w:pBdr/>
        <w:spacing/>
        <w:ind/>
        <w:jc w:val="both"/>
        <w:rPr>
          <w:color w:val="ff0000"/>
        </w:rPr>
      </w:pPr>
      <w:r>
        <w:rPr>
          <w:color w:val="ff0000"/>
        </w:rPr>
        <w:t xml:space="preserve">       Estado de "saturación" o "capacidad" declarado.</w:t>
      </w:r>
      <w:r>
        <w:rPr>
          <w:color w:val="ff0000"/>
        </w:rPr>
      </w:r>
      <w:r>
        <w:rPr>
          <w:color w:val="ff0000"/>
        </w:rPr>
      </w:r>
    </w:p>
    <w:p w14:paraId="412224AC">
      <w:pPr>
        <w:pBdr/>
        <w:spacing/>
        <w:ind/>
        <w:jc w:val="both"/>
        <w:rPr>
          <w:color w:val="ff0000"/>
          <w:highlight w:val="none"/>
        </w:rPr>
      </w:pPr>
      <w:r>
        <w:rPr>
          <w:color w:val="ff0000"/>
        </w:rPr>
        <w:t xml:space="preserve">Funcionamiento y Beneficio: Toda esta información se visualizará en un mapa digital provincial único en el Centro de Monitoreo. Un coordinador podrá ver, por ejemplo, que la guardia del Hospital de Plottier tiene una espera de 4 horas para categ</w:t>
      </w:r>
      <w:r>
        <w:rPr>
          <w:color w:val="ff0000"/>
        </w:rPr>
        <w:t xml:space="preserve">oría 3 (urgente), mientras que la del </w:t>
      </w:r>
      <w:r>
        <w:rPr>
          <w:color w:val="ff0000"/>
        </w:rPr>
        <w:t xml:space="preserve">Hospital de Centenario, a 15 km, tiene capacidad inmediata. Esto habilita la gestión activa del flujo de pacientes.</w:t>
      </w:r>
      <w:r>
        <w:rPr>
          <w:color w:val="ff0000"/>
        </w:rPr>
      </w:r>
      <w:r>
        <w:rPr>
          <w:color w:val="ff0000"/>
        </w:rPr>
      </w:r>
    </w:p>
    <w:p w14:paraId="70BB78A0">
      <w:pPr>
        <w:pBdr>
          <w:top w:val="none" w:color="000000" w:sz="4" w:space="0"/>
          <w:left w:val="none" w:color="000000" w:sz="4" w:space="0"/>
          <w:bottom w:val="none" w:color="000000" w:sz="4" w:space="0"/>
          <w:right w:val="none" w:color="000000" w:sz="4" w:space="0"/>
        </w:pBdr>
        <w:spacing/>
        <w:ind w:right="0" w:firstLine="0" w:left="0"/>
        <w:rPr>
          <w:color w:val="ff0000"/>
        </w:rPr>
      </w:pPr>
      <w:r>
        <w:rPr>
          <w:rFonts w:ascii="Times New Roman" w:hAnsi="Times New Roman" w:eastAsia="Times New Roman" w:cs="Times New Roman"/>
          <w:color w:val="ff0000"/>
          <w:sz w:val="24"/>
        </w:rPr>
        <w:t xml:space="preserve">El núcleo del SIGMA-NQN será una </w:t>
      </w:r>
      <w:r>
        <w:rPr>
          <w:rFonts w:ascii="Times New Roman" w:hAnsi="Times New Roman" w:eastAsia="Times New Roman" w:cs="Times New Roman"/>
          <w:b/>
          <w:color w:val="ff0000"/>
          <w:sz w:val="24"/>
        </w:rPr>
        <w:t xml:space="preserve">plataforma provincial de integración</w:t>
      </w:r>
      <w:r>
        <w:rPr>
          <w:rFonts w:ascii="Times New Roman" w:hAnsi="Times New Roman" w:eastAsia="Times New Roman" w:cs="Times New Roman"/>
          <w:color w:val="ff0000"/>
          <w:sz w:val="24"/>
        </w:rPr>
        <w:t xml:space="preserve">, concebida como un </w:t>
      </w:r>
      <w:r>
        <w:rPr>
          <w:rFonts w:ascii="Times New Roman" w:hAnsi="Times New Roman" w:eastAsia="Times New Roman" w:cs="Times New Roman"/>
          <w:i/>
          <w:color w:val="ff0000"/>
          <w:sz w:val="24"/>
        </w:rPr>
        <w:t xml:space="preserve">bus de servicios</w:t>
      </w:r>
      <w:r>
        <w:rPr>
          <w:rFonts w:ascii="Times New Roman" w:hAnsi="Times New Roman" w:eastAsia="Times New Roman" w:cs="Times New Roman"/>
          <w:color w:val="ff0000"/>
          <w:sz w:val="24"/>
        </w:rPr>
        <w:t xml:space="preserve"> que:</w:t>
      </w:r>
      <w:r>
        <w:rPr>
          <w:color w:val="ff0000"/>
        </w:rPr>
      </w:r>
      <w:r>
        <w:rPr>
          <w:color w:val="ff0000"/>
        </w:rPr>
      </w:r>
    </w:p>
    <w:p w14:paraId="6CA1CE97">
      <w:pPr>
        <w:pStyle w:val="970"/>
        <w:numPr>
          <w:ilvl w:val="0"/>
          <w:numId w:val="8"/>
        </w:numPr>
        <w:pBdr>
          <w:top w:val="none" w:color="000000" w:sz="4" w:space="0"/>
          <w:left w:val="none" w:color="000000" w:sz="4" w:space="0"/>
          <w:bottom w:val="none" w:color="000000" w:sz="4" w:space="0"/>
          <w:right w:val="none" w:color="000000" w:sz="4" w:space="0"/>
        </w:pBdr>
        <w:spacing/>
        <w:ind w:right="0"/>
        <w:rPr>
          <w:color w:val="ff0000"/>
        </w:rPr>
      </w:pPr>
      <w:r>
        <w:rPr>
          <w:rFonts w:ascii="Times New Roman" w:hAnsi="Times New Roman" w:eastAsia="Times New Roman" w:cs="Times New Roman"/>
          <w:color w:val="ff0000"/>
          <w:sz w:val="24"/>
        </w:rPr>
        <w:t xml:space="preserve">Se conecte a los sistemas existentes (hospitalarios, prehospitalarios, 911, flotas).</w:t>
      </w:r>
      <w:r>
        <w:rPr>
          <w:color w:val="ff0000"/>
        </w:rPr>
      </w:r>
      <w:r>
        <w:rPr>
          <w:color w:val="ff0000"/>
        </w:rPr>
      </w:r>
    </w:p>
    <w:p w14:paraId="03004D3E">
      <w:pPr>
        <w:pStyle w:val="970"/>
        <w:numPr>
          <w:ilvl w:val="0"/>
          <w:numId w:val="8"/>
        </w:numPr>
        <w:pBdr>
          <w:top w:val="none" w:color="000000" w:sz="4" w:space="0"/>
          <w:left w:val="none" w:color="000000" w:sz="4" w:space="0"/>
          <w:bottom w:val="none" w:color="000000" w:sz="4" w:space="0"/>
          <w:right w:val="none" w:color="000000" w:sz="4" w:space="0"/>
        </w:pBdr>
        <w:spacing/>
        <w:ind w:right="0"/>
        <w:rPr>
          <w:color w:val="ff0000"/>
        </w:rPr>
      </w:pPr>
      <w:r>
        <w:rPr>
          <w:rFonts w:ascii="Times New Roman" w:hAnsi="Times New Roman" w:eastAsia="Times New Roman" w:cs="Times New Roman"/>
          <w:color w:val="ff0000"/>
          <w:sz w:val="24"/>
        </w:rPr>
        <w:t xml:space="preserve">No reemplace las soluciones locales, sino que las integre.</w:t>
      </w:r>
      <w:r>
        <w:rPr>
          <w:color w:val="ff0000"/>
        </w:rPr>
      </w:r>
      <w:r>
        <w:rPr>
          <w:color w:val="ff0000"/>
        </w:rPr>
      </w:r>
    </w:p>
    <w:p w14:paraId="7940322D">
      <w:pPr>
        <w:pStyle w:val="970"/>
        <w:numPr>
          <w:ilvl w:val="0"/>
          <w:numId w:val="8"/>
        </w:numPr>
        <w:pBdr>
          <w:top w:val="none" w:color="000000" w:sz="4" w:space="0"/>
          <w:left w:val="none" w:color="000000" w:sz="4" w:space="0"/>
          <w:bottom w:val="none" w:color="000000" w:sz="4" w:space="0"/>
          <w:right w:val="none" w:color="000000" w:sz="4" w:space="0"/>
        </w:pBdr>
        <w:spacing/>
        <w:ind w:right="0"/>
        <w:rPr>
          <w:color w:val="ff0000"/>
        </w:rPr>
      </w:pPr>
      <w:r>
        <w:rPr>
          <w:rFonts w:ascii="Times New Roman" w:hAnsi="Times New Roman" w:eastAsia="Times New Roman" w:cs="Times New Roman"/>
          <w:color w:val="ff0000"/>
          <w:sz w:val="24"/>
        </w:rPr>
        <w:t xml:space="preserve">Unifique la información relevante en tiempo real.</w:t>
      </w:r>
      <w:r>
        <w:rPr>
          <w:color w:val="ff0000"/>
        </w:rPr>
      </w:r>
      <w:r>
        <w:rPr>
          <w:color w:val="ff0000"/>
        </w:rPr>
      </w:r>
    </w:p>
    <w:p w14:paraId="5F0DFC4A">
      <w:pPr>
        <w:pBdr>
          <w:top w:val="none" w:color="000000" w:sz="4" w:space="0"/>
          <w:left w:val="none" w:color="000000" w:sz="4" w:space="0"/>
          <w:bottom w:val="none" w:color="000000" w:sz="4" w:space="0"/>
          <w:right w:val="none" w:color="000000" w:sz="4" w:space="0"/>
        </w:pBdr>
        <w:spacing/>
        <w:ind w:right="0" w:firstLine="0" w:left="0"/>
        <w:rPr>
          <w:color w:val="ff0000"/>
          <w:highlight w:val="none"/>
        </w:rPr>
      </w:pPr>
      <w:r>
        <w:rPr>
          <w:rFonts w:ascii="Times New Roman" w:hAnsi="Times New Roman" w:eastAsia="Times New Roman" w:cs="Times New Roman"/>
          <w:color w:val="ff0000"/>
          <w:sz w:val="24"/>
        </w:rPr>
        <w:t xml:space="preserve">Desde el punto de vista operativo, esto permitirá al Ministerio y al CCO contar con una </w:t>
      </w:r>
      <w:r>
        <w:rPr>
          <w:rFonts w:ascii="Times New Roman" w:hAnsi="Times New Roman" w:eastAsia="Times New Roman" w:cs="Times New Roman"/>
          <w:b/>
          <w:color w:val="ff0000"/>
          <w:sz w:val="24"/>
        </w:rPr>
        <w:t xml:space="preserve">visión única y consolidada</w:t>
      </w:r>
      <w:r>
        <w:rPr>
          <w:rFonts w:ascii="Times New Roman" w:hAnsi="Times New Roman" w:eastAsia="Times New Roman" w:cs="Times New Roman"/>
          <w:color w:val="ff0000"/>
          <w:sz w:val="24"/>
        </w:rPr>
        <w:t xml:space="preserve"> del estado de las guardias, la demanda y los recursos disponibles.</w:t>
      </w:r>
      <w:r>
        <w:rPr>
          <w:color w:val="ff0000"/>
        </w:rPr>
      </w:r>
      <w:r>
        <w:rPr>
          <w:color w:val="ff0000"/>
        </w:rPr>
      </w:r>
      <w:r>
        <w:rPr>
          <w:color w:val="ff0000"/>
        </w:rPr>
      </w:r>
    </w:p>
    <w:p w14:paraId="1ACE8779">
      <w:pPr>
        <w:pBdr>
          <w:top w:val="none" w:color="000000" w:sz="4" w:space="0"/>
          <w:left w:val="none" w:color="000000" w:sz="4" w:space="0"/>
          <w:bottom w:val="none" w:color="000000" w:sz="4" w:space="0"/>
          <w:right w:val="none" w:color="000000" w:sz="4" w:space="0"/>
        </w:pBdr>
        <w:spacing/>
        <w:ind/>
        <w:jc w:val="both"/>
        <w:rPr>
          <w:b/>
          <w:bCs/>
          <w14:ligatures w14:val="none"/>
        </w:rPr>
      </w:pPr>
      <w:r>
        <w:rPr>
          <w:b/>
          <w:bCs/>
          <w:lang w:val="undefined"/>
        </w:rPr>
        <w:t xml:space="preserve">COMPONENTE ORGANIZATIVO: CENTRO DE COORDINACIÓN OPERATIVA (CCO)</w:t>
      </w:r>
      <w:r>
        <w:rPr>
          <w:b/>
          <w:bCs/>
          <w:lang w:val="undefined" w:bidi="undefined"/>
        </w:rPr>
      </w:r>
      <w:r>
        <w:rPr>
          <w:b/>
          <w:bCs/>
          <w:lang w:val="undefined"/>
        </w:rPr>
      </w:r>
    </w:p>
    <w:p w14:paraId="7865D87B">
      <w:pPr>
        <w:pBdr>
          <w:top w:val="none" w:color="000000" w:sz="4" w:space="0"/>
          <w:left w:val="none" w:color="000000" w:sz="4" w:space="0"/>
          <w:bottom w:val="none" w:color="000000" w:sz="4" w:space="0"/>
          <w:right w:val="none" w:color="000000" w:sz="4" w:space="0"/>
        </w:pBdr>
        <w:spacing/>
        <w:ind/>
        <w:jc w:val="both"/>
        <w:rPr>
          <w14:ligatures w14:val="none"/>
        </w:rPr>
      </w:pPr>
      <w:r>
        <w:rPr>
          <w:lang w:val="undefined"/>
        </w:rPr>
        <w:t xml:space="preserve">Se propone la creación de un </w:t>
      </w:r>
      <w:r>
        <w:rPr>
          <w:lang w:val="undefined"/>
        </w:rPr>
        <w:t xml:space="preserve">Centro de Coordinación Operativa Provincial</w:t>
      </w:r>
      <w:r>
        <w:rPr>
          <w:lang w:val="undefined"/>
        </w:rPr>
        <w:t xml:space="preserve">, con sede en Neuquén capital, responsable de:</w:t>
      </w:r>
      <w:r>
        <w:rPr>
          <w:lang w:val="undefined" w:bidi="undefined"/>
        </w:rPr>
      </w:r>
      <w:r>
        <w:rPr>
          <w:lang w:val="undefined"/>
        </w:rPr>
      </w:r>
    </w:p>
    <w:p w14:paraId="391D94B7">
      <w:pPr>
        <w:pBdr>
          <w:top w:val="none" w:color="000000" w:sz="4" w:space="0"/>
          <w:left w:val="none" w:color="000000" w:sz="4" w:space="0"/>
          <w:bottom w:val="none" w:color="000000" w:sz="4" w:space="0"/>
          <w:right w:val="none" w:color="000000" w:sz="4" w:space="0"/>
        </w:pBdr>
        <w:spacing/>
        <w:ind w:firstLine="0" w:left="0"/>
        <w:jc w:val="both"/>
        <w:rPr>
          <w14:ligatures w14:val="none"/>
        </w:rPr>
      </w:pPr>
      <w:r>
        <w:rPr>
          <w:lang w:val="undefined"/>
        </w:rPr>
        <w:t xml:space="preserve">Coordinar traslados y derivaciones complejas.</w:t>
      </w:r>
      <w:r>
        <w:rPr>
          <w:lang w:val="undefined" w:bidi="undefined"/>
        </w:rPr>
      </w:r>
      <w:r>
        <w:rPr>
          <w:lang w:val="undefined"/>
        </w:rPr>
      </w:r>
    </w:p>
    <w:p w14:paraId="57B2322D">
      <w:pPr>
        <w:pBdr>
          <w:top w:val="none" w:color="000000" w:sz="4" w:space="0"/>
          <w:left w:val="none" w:color="000000" w:sz="4" w:space="0"/>
          <w:bottom w:val="none" w:color="000000" w:sz="4" w:space="0"/>
          <w:right w:val="none" w:color="000000" w:sz="4" w:space="0"/>
        </w:pBdr>
        <w:spacing/>
        <w:ind w:firstLine="0" w:left="0"/>
        <w:jc w:val="both"/>
        <w:rPr>
          <w14:ligatures w14:val="none"/>
        </w:rPr>
      </w:pPr>
      <w:r>
        <w:rPr>
          <w:lang w:val="undefined"/>
        </w:rPr>
        <w:t xml:space="preserve">Monitorear indicadores en tiempo real.</w:t>
      </w:r>
      <w:r>
        <w:rPr>
          <w:lang w:val="undefined" w:bidi="undefined"/>
        </w:rPr>
      </w:r>
      <w:r>
        <w:rPr>
          <w:lang w:val="undefined"/>
        </w:rPr>
      </w:r>
    </w:p>
    <w:p w14:paraId="690B850F">
      <w:pPr>
        <w:pBdr>
          <w:top w:val="none" w:color="000000" w:sz="4" w:space="0"/>
          <w:left w:val="none" w:color="000000" w:sz="4" w:space="0"/>
          <w:bottom w:val="none" w:color="000000" w:sz="4" w:space="0"/>
          <w:right w:val="none" w:color="000000" w:sz="4" w:space="0"/>
        </w:pBdr>
        <w:spacing/>
        <w:ind w:firstLine="0" w:left="0"/>
        <w:jc w:val="both"/>
        <w:rPr>
          <w14:ligatures w14:val="none"/>
        </w:rPr>
      </w:pPr>
      <w:r>
        <w:rPr>
          <w:lang w:val="undefined"/>
        </w:rPr>
        <w:t xml:space="preserve">Actuar como nodo rector ante eventos críticos.</w:t>
      </w:r>
      <w:r>
        <w:rPr>
          <w:lang w:val="undefined" w:bidi="undefined"/>
        </w:rPr>
      </w:r>
      <w:r>
        <w:rPr>
          <w:lang w:val="undefined"/>
        </w:rPr>
      </w:r>
    </w:p>
    <w:p w14:paraId="07088B73">
      <w:pPr>
        <w:pBdr>
          <w:top w:val="none" w:color="000000" w:sz="4" w:space="0"/>
          <w:left w:val="none" w:color="000000" w:sz="4" w:space="0"/>
          <w:bottom w:val="none" w:color="000000" w:sz="4" w:space="0"/>
          <w:right w:val="none" w:color="000000" w:sz="4" w:space="0"/>
        </w:pBdr>
        <w:spacing/>
        <w:ind/>
        <w:jc w:val="both"/>
        <w:rPr>
          <w:highlight w:val="none"/>
          <w14:ligatures w14:val="none"/>
        </w:rPr>
      </w:pPr>
      <w:r>
        <w:rPr>
          <w:lang w:val="undefined"/>
        </w:rPr>
        <w:t xml:space="preserve">El CCO funcionará bajo un </w:t>
      </w:r>
      <w:r>
        <w:rPr>
          <w:lang w:val="undefined"/>
        </w:rPr>
        <w:t xml:space="preserve">modelo de gobernanza</w:t>
      </w:r>
      <w:r>
        <w:rPr>
          <w:lang w:val="undefined"/>
        </w:rPr>
        <w:t xml:space="preserve"> liderado por el Ministerio, con un Comité Rector intersectorial.</w:t>
      </w:r>
      <w:r>
        <w:rPr>
          <w:lang w:val="undefined" w:bidi="undefined"/>
        </w:rPr>
      </w:r>
      <w:r/>
    </w:p>
    <w:p w14:paraId="77A0C3B2">
      <w:pPr>
        <w:pBdr/>
        <w:spacing/>
        <w:ind/>
        <w:jc w:val="both"/>
        <w:rPr>
          <w:b/>
          <w:bCs/>
          <w:highlight w:val="none"/>
        </w:rPr>
      </w:pPr>
      <w:r>
        <w:rPr>
          <w:b/>
          <w:bCs/>
        </w:rPr>
        <w:t xml:space="preserve">MODELO DE GOBERNANZA:</w:t>
      </w:r>
      <w:r>
        <w:rPr>
          <w:b/>
          <w:bCs/>
          <w:highlight w:val="none"/>
        </w:rPr>
      </w:r>
      <w:r>
        <w:rPr>
          <w:b/>
          <w:bCs/>
          <w:highlight w:val="none"/>
        </w:rPr>
      </w:r>
    </w:p>
    <w:p w14:paraId="1FE0C052">
      <w:pPr>
        <w:pBdr/>
        <w:spacing/>
        <w:ind/>
        <w:jc w:val="both"/>
        <w:rPr/>
      </w:pPr>
      <w:r>
        <w:t xml:space="preserve">       Comité Rector del SIGMA-NQN: Presidido por el Sr. Ministro o su Subsecretario. Integrado por directores de Redes de Salud, Atención Hospitalaria y Emergencias, junto a directores de hospitales cabecera. Define la política y prioridades.</w:t>
      </w:r>
      <w:r/>
      <w:r/>
    </w:p>
    <w:p w14:paraId="278F379F">
      <w:pPr>
        <w:pBdr/>
        <w:spacing/>
        <w:ind/>
        <w:jc w:val="both"/>
        <w:rPr/>
      </w:pPr>
      <w:r>
        <w:t xml:space="preserve">       Comité Clínico-Técnico: Formado por jefes de guardia y referentes clínicos de los principales hospitales. Aprueba y actualiza los protocolos de triage y las guías clínicas.</w:t>
      </w:r>
      <w:r/>
      <w:r/>
    </w:p>
    <w:p w14:paraId="61DF05B3">
      <w:pPr>
        <w:pBdr/>
        <w:spacing/>
        <w:ind/>
        <w:jc w:val="both"/>
        <w:rPr/>
      </w:pPr>
      <w:r>
        <w:t xml:space="preserve">       Unidad Ejecutora del Proyecto: Equipo dedicado a la implementación técnica y del cambio organizacional.</w:t>
      </w:r>
      <w:r/>
      <w:r/>
    </w:p>
    <w:p w14:paraId="0AA5BCEE">
      <w:pPr>
        <w:pBdr/>
        <w:shd w:val="nil"/>
        <w:spacing/>
        <w:ind/>
        <w:rPr>
          <w14:ligatures w14:val="none"/>
        </w:rPr>
      </w:pPr>
      <w:r>
        <w:br w:type="page" w:clear="all"/>
      </w:r>
      <w:r/>
      <w:r/>
    </w:p>
    <w:p w14:paraId="1B1418BA">
      <w:pPr>
        <w:pBdr/>
        <w:spacing/>
        <w:ind/>
        <w:jc w:val="both"/>
        <w:rPr>
          <w:b/>
          <w:bCs/>
        </w:rPr>
      </w:pPr>
      <w:r>
        <w:rPr>
          <w:b/>
          <w:bCs/>
        </w:rPr>
        <w:t xml:space="preserve">PLAN DE IMPLEMENTACIÓN POR FASES</w:t>
      </w:r>
      <w:r>
        <w:rPr>
          <w:b/>
          <w:bCs/>
        </w:rPr>
      </w:r>
      <w:r>
        <w:rPr>
          <w:b/>
          <w:bCs/>
        </w:rPr>
      </w:r>
    </w:p>
    <w:p w14:paraId="64A2D63C">
      <w:pPr>
        <w:pBdr/>
        <w:spacing/>
        <w:ind/>
        <w:jc w:val="both"/>
        <w:rPr/>
      </w:pPr>
      <w:r/>
      <w:r/>
      <w:r/>
    </w:p>
    <w:p w14:paraId="47328D71">
      <w:pPr>
        <w:pBdr/>
        <w:spacing/>
        <w:ind/>
        <w:jc w:val="both"/>
        <w:rPr>
          <w:b/>
          <w:bCs/>
        </w:rPr>
      </w:pPr>
      <w:r>
        <w:t xml:space="preserve">   </w:t>
      </w:r>
      <w:r>
        <w:rPr>
          <w:b/>
          <w:bCs/>
        </w:rPr>
        <w:t xml:space="preserve">Fase 0 - Iniciación y Gobernanza (0-3 meses):</w:t>
      </w:r>
      <w:r>
        <w:rPr>
          <w:b/>
          <w:bCs/>
        </w:rPr>
      </w:r>
      <w:r>
        <w:rPr>
          <w:b/>
          <w:bCs/>
        </w:rPr>
      </w:r>
    </w:p>
    <w:p w14:paraId="19723C75">
      <w:pPr>
        <w:pBdr/>
        <w:spacing/>
        <w:ind/>
        <w:jc w:val="both"/>
        <w:rPr/>
      </w:pPr>
      <w:r>
        <w:t xml:space="preserve">       Acción Clave: Emisión de Resolución Ministerial que cree formalmente la Unidad Ejecutora del SIGMA-NQN y el Comité Rector.</w:t>
      </w:r>
      <w:r/>
      <w:r/>
    </w:p>
    <w:p w14:paraId="3DE8DBC7">
      <w:pPr>
        <w:pBdr/>
        <w:spacing/>
        <w:ind/>
        <w:jc w:val="both"/>
        <w:rPr/>
      </w:pPr>
      <w:r>
        <w:t xml:space="preserve">       Tareas: Designación de responsables, asignación de presupuesto semilla, y elaboración del pliego para la Fase 1.</w:t>
      </w:r>
      <w:r/>
      <w:r/>
    </w:p>
    <w:p w14:paraId="600C6189">
      <w:pPr>
        <w:pBdr/>
        <w:spacing/>
        <w:ind/>
        <w:jc w:val="both"/>
        <w:rPr/>
      </w:pPr>
      <w:r/>
      <w:r/>
      <w:r/>
    </w:p>
    <w:p w14:paraId="4BF8682C">
      <w:pPr>
        <w:pBdr/>
        <w:spacing/>
        <w:ind/>
        <w:jc w:val="both"/>
        <w:rPr>
          <w:b/>
          <w:bCs/>
        </w:rPr>
      </w:pPr>
      <w:r>
        <w:t xml:space="preserve"> </w:t>
      </w:r>
      <w:r>
        <w:rPr>
          <w:b/>
          <w:bCs/>
        </w:rPr>
        <w:t xml:space="preserve">  Fase 1 - Diseño Detallado y Piloto (6-8 meses):</w:t>
      </w:r>
      <w:r>
        <w:rPr>
          <w:b/>
          <w:bCs/>
        </w:rPr>
      </w:r>
      <w:r>
        <w:rPr>
          <w:b/>
          <w:bCs/>
        </w:rPr>
      </w:r>
    </w:p>
    <w:p w14:paraId="4B8022C0">
      <w:pPr>
        <w:pBdr/>
        <w:spacing/>
        <w:ind/>
        <w:jc w:val="both"/>
        <w:rPr/>
      </w:pPr>
      <w:r>
        <w:t xml:space="preserve">       Ámbito: Área Metropolitana de Neuquén (Guardias de Hospital Castro Rendón, </w:t>
      </w:r>
      <w:r>
        <w:rPr>
          <w:lang w:val="es-AR"/>
        </w:rPr>
        <w:t xml:space="preserve">Hospital Dr. Horacio Heller, </w:t>
      </w:r>
      <w:r>
        <w:t xml:space="preserve">Hospital Bouquet Roldán y 1-2 Centros de Salud de alta demanda).</w:t>
      </w:r>
      <w:r/>
      <w:r/>
    </w:p>
    <w:p w14:paraId="0971BC12">
      <w:pPr>
        <w:pBdr/>
        <w:spacing/>
        <w:ind/>
        <w:jc w:val="both"/>
        <w:rPr/>
      </w:pPr>
      <w:r>
        <w:t xml:space="preserve">       Acciones: Diseño detallado de la plataforma, desarrollo del software de integración, conexión piloto con los sistemas de los hospitales seleccionados. Capacitación intensiva en el nuevo triage. Puesta en marcha del CMAC en modo piloto.</w:t>
      </w:r>
      <w:r/>
      <w:r/>
    </w:p>
    <w:p w14:paraId="727E6261">
      <w:pPr>
        <w:pBdr/>
        <w:spacing/>
        <w:ind/>
        <w:jc w:val="both"/>
        <w:rPr/>
      </w:pPr>
      <w:r>
        <w:t xml:space="preserve">       Producto: Sistema funcionando en red cerrada, permitiendo la redistribución de pacientes entre las guardias piloto y la medición inicial de impacto.</w:t>
      </w:r>
      <w:r/>
      <w:r/>
    </w:p>
    <w:p w14:paraId="29DA36A5">
      <w:pPr>
        <w:pBdr/>
        <w:spacing/>
        <w:ind/>
        <w:jc w:val="both"/>
        <w:rPr/>
      </w:pPr>
      <w:r/>
      <w:r/>
      <w:r/>
    </w:p>
    <w:p w14:paraId="6604B07B">
      <w:pPr>
        <w:pBdr/>
        <w:spacing/>
        <w:ind/>
        <w:jc w:val="both"/>
        <w:rPr>
          <w:b/>
          <w:bCs/>
        </w:rPr>
      </w:pPr>
      <w:r>
        <w:t xml:space="preserve">   </w:t>
      </w:r>
      <w:r>
        <w:rPr>
          <w:b/>
          <w:bCs/>
        </w:rPr>
        <w:t xml:space="preserve">Fase 2 - Expansión Provincial Escalonada (18 meses):</w:t>
      </w:r>
      <w:r>
        <w:rPr>
          <w:b/>
          <w:bCs/>
        </w:rPr>
      </w:r>
      <w:r>
        <w:rPr>
          <w:b/>
          <w:bCs/>
        </w:rPr>
      </w:r>
    </w:p>
    <w:p w14:paraId="4A2E690B">
      <w:pPr>
        <w:pBdr/>
        <w:spacing/>
        <w:ind/>
        <w:jc w:val="both"/>
        <w:rPr/>
      </w:pPr>
      <w:r>
        <w:t xml:space="preserve">       Etapa 2.1: Integración de los hospitales cabecera de las Zonas Sanitarias I, II y III (ej., Zapala, Chos Malal, San Martín de los Andes).</w:t>
      </w:r>
      <w:r/>
      <w:r/>
    </w:p>
    <w:p w14:paraId="58941EE9">
      <w:pPr>
        <w:pBdr/>
        <w:spacing/>
        <w:ind/>
        <w:jc w:val="both"/>
        <w:rPr/>
      </w:pPr>
      <w:r>
        <w:t xml:space="preserve">       Etapa 2.2: Integración del resto de los hospitales y centros de salud con guardia de mediana complejidad.</w:t>
      </w:r>
      <w:r/>
      <w:r/>
    </w:p>
    <w:p w14:paraId="42C546A0">
      <w:pPr>
        <w:pBdr/>
        <w:spacing/>
        <w:ind/>
        <w:jc w:val="both"/>
        <w:rPr/>
      </w:pPr>
      <w:r>
        <w:t xml:space="preserve">       Acción Constante: Capacitación masiva, escalamiento tecnológico y ajuste de protocolos.</w:t>
      </w:r>
      <w:r/>
      <w:r/>
    </w:p>
    <w:p w14:paraId="30330054">
      <w:pPr>
        <w:pBdr/>
        <w:spacing/>
        <w:ind/>
        <w:jc w:val="both"/>
        <w:rPr/>
      </w:pPr>
      <w:r/>
      <w:r/>
      <w:r/>
    </w:p>
    <w:p w14:paraId="4507926F">
      <w:pPr>
        <w:pBdr/>
        <w:spacing/>
        <w:ind/>
        <w:jc w:val="both"/>
        <w:rPr>
          <w:b/>
          <w:bCs/>
        </w:rPr>
      </w:pPr>
      <w:r>
        <w:t xml:space="preserve">   </w:t>
      </w:r>
      <w:r>
        <w:rPr>
          <w:b/>
          <w:bCs/>
        </w:rPr>
        <w:t xml:space="preserve">Fase 3 - Consolidación y Mejora Continua (A partir del mes 30):</w:t>
      </w:r>
      <w:r>
        <w:rPr>
          <w:b/>
          <w:bCs/>
        </w:rPr>
      </w:r>
      <w:r>
        <w:rPr>
          <w:b/>
          <w:bCs/>
        </w:rPr>
      </w:r>
    </w:p>
    <w:p w14:paraId="6D430630">
      <w:pPr>
        <w:pBdr/>
        <w:spacing/>
        <w:ind/>
        <w:jc w:val="both"/>
        <w:rPr/>
      </w:pPr>
      <w:r>
        <w:t xml:space="preserve">       Integración total de la red pública.</w:t>
      </w:r>
      <w:r/>
      <w:r/>
    </w:p>
    <w:p w14:paraId="0DD3324B">
      <w:pPr>
        <w:pBdr/>
        <w:spacing/>
        <w:ind/>
        <w:jc w:val="both"/>
        <w:rPr/>
      </w:pPr>
      <w:r>
        <w:t xml:space="preserve">       Desarrollo de analítica avanzada: predicción de picos de demanda, alertas tempranas por agrupación de síntomas.</w:t>
      </w:r>
      <w:r/>
      <w:r/>
    </w:p>
    <w:p w14:paraId="2A21853F">
      <w:pPr>
        <w:pBdr/>
        <w:spacing/>
        <w:ind/>
        <w:jc w:val="both"/>
        <w:rPr/>
      </w:pPr>
      <w:r>
        <w:t xml:space="preserve">       Integración con el futuro sistema de Historia Clínica Digital Provincial.</w:t>
      </w:r>
      <w:r/>
      <w:r/>
    </w:p>
    <w:p w14:paraId="3EF70714">
      <w:pPr>
        <w:pBdr/>
        <w:spacing/>
        <w:ind/>
        <w:jc w:val="both"/>
        <w:rPr>
          <w:highlight w:val="none"/>
        </w:rPr>
      </w:pPr>
      <w:r>
        <w:rPr>
          <w:highlight w:val="none"/>
        </w:rPr>
        <w:br/>
      </w:r>
      <w:r/>
    </w:p>
    <w:p w14:paraId="27A3DD53">
      <w:pPr>
        <w:pBdr/>
        <w:spacing/>
        <w:ind/>
        <w:jc w:val="center"/>
        <w:rPr>
          <w:b/>
          <w:bCs/>
          <w:highlight w:val="none"/>
        </w:rPr>
      </w:pPr>
      <w:r>
        <w:rPr>
          <w:b/>
          <w:bCs/>
          <w:highlight w:val="none"/>
        </w:rPr>
      </w:r>
      <w:r>
        <w:rPr>
          <w:b/>
          <w:bCs/>
        </w:rPr>
        <w:t xml:space="preserve">BENEFICIOS ESPERADOS Y MÉTRICAS DE ÉXITO (KPIS)</w:t>
      </w:r>
      <w:r>
        <w:rPr>
          <w:b/>
          <w:bCs/>
        </w:rPr>
      </w:r>
      <w:r>
        <w:rPr>
          <w:b/>
          <w:bCs/>
        </w:rPr>
      </w:r>
    </w:p>
    <w:p w14:paraId="6F4FD6F7">
      <w:pPr>
        <w:pBdr/>
        <w:spacing/>
        <w:ind/>
        <w:jc w:val="both"/>
        <w:rPr/>
      </w:pPr>
      <w:r/>
      <w:r/>
      <w:r/>
    </w:p>
    <w:p w14:paraId="69DF1C70">
      <w:pPr>
        <w:pBdr/>
        <w:spacing/>
        <w:ind/>
        <w:jc w:val="both"/>
        <w:rPr/>
      </w:pPr>
      <w:r>
        <w:t xml:space="preserve">  </w:t>
      </w:r>
      <w:r>
        <w:rPr>
          <w:b/>
          <w:bCs/>
        </w:rPr>
        <w:t xml:space="preserve"> Beneficios de Gestión</w:t>
      </w:r>
      <w:r>
        <w:t xml:space="preserve">: Dashboard unificado para la toma de decisiones, optimización de la capacidad instalada provincial, gestión proactiva de crisis, datos para la planificación de recursos humanos y físicos.</w:t>
      </w:r>
      <w:r/>
      <w:r/>
    </w:p>
    <w:p w14:paraId="6483A4C4">
      <w:pPr>
        <w:pBdr/>
        <w:spacing/>
        <w:ind/>
        <w:jc w:val="both"/>
        <w:rPr/>
      </w:pPr>
      <w:r>
        <w:t xml:space="preserve">   </w:t>
      </w:r>
      <w:r>
        <w:rPr>
          <w:b/>
          <w:bCs/>
        </w:rPr>
        <w:t xml:space="preserve">Beneficios Clínicos:</w:t>
      </w:r>
      <w:r>
        <w:t xml:space="preserve"> Atención más predecible y segura para el paciente, reducción de la variabilidad clínica injustificada, mejora en la calidad del registro de la atención.</w:t>
      </w:r>
      <w:r/>
      <w:r/>
    </w:p>
    <w:p w14:paraId="1498CA33">
      <w:pPr>
        <w:pBdr/>
        <w:spacing/>
        <w:ind/>
        <w:jc w:val="both"/>
        <w:rPr/>
      </w:pPr>
      <w:r>
        <w:t xml:space="preserve">  </w:t>
      </w:r>
      <w:r>
        <w:rPr>
          <w:b/>
          <w:bCs/>
        </w:rPr>
        <w:t xml:space="preserve"> Beneficios para la Población:</w:t>
      </w:r>
      <w:r>
        <w:t xml:space="preserve"> Reducción de la incertidumbre y los tiempos de espera, atención más equitativa independientemente del punto de entrada al sistema.</w:t>
      </w:r>
      <w:r/>
      <w:r/>
    </w:p>
    <w:p w14:paraId="5834E150">
      <w:pPr>
        <w:pBdr/>
        <w:spacing/>
        <w:ind/>
        <w:jc w:val="both"/>
        <w:rPr/>
      </w:pPr>
      <w:r/>
      <w:r/>
      <w:r/>
    </w:p>
    <w:p w14:paraId="6C715241">
      <w:pPr>
        <w:pBdr/>
        <w:spacing/>
        <w:ind/>
        <w:jc w:val="both"/>
        <w:rPr>
          <w:b/>
          <w:bCs/>
        </w:rPr>
      </w:pPr>
      <w:r>
        <w:rPr>
          <w:b/>
          <w:bCs/>
        </w:rPr>
        <w:t xml:space="preserve">KPIs Principales (Tablero de Control):</w:t>
      </w:r>
      <w:r>
        <w:rPr>
          <w:b/>
          <w:bCs/>
        </w:rPr>
      </w:r>
      <w:r>
        <w:rPr>
          <w:b/>
          <w:bCs/>
        </w:rPr>
      </w:r>
    </w:p>
    <w:p w14:paraId="6377E1AE">
      <w:pPr>
        <w:pBdr/>
        <w:spacing/>
        <w:ind/>
        <w:jc w:val="both"/>
        <w:rPr/>
      </w:pPr>
      <w:r>
        <w:t xml:space="preserve">1.  Tiempo Promedio de Espera por Categoría de Triage (comparativo entre establecimientos).</w:t>
      </w:r>
      <w:r/>
      <w:r/>
    </w:p>
    <w:p w14:paraId="46E64293">
      <w:pPr>
        <w:pBdr/>
        <w:spacing/>
        <w:ind/>
        <w:jc w:val="both"/>
        <w:rPr/>
      </w:pPr>
      <w:r>
        <w:t xml:space="preserve">2.  Porcentaje de Cumplimiento del tiempo máximo de espera objetivo para cada categoría.</w:t>
      </w:r>
      <w:r/>
      <w:r/>
    </w:p>
    <w:p w14:paraId="56A4FEE6">
      <w:pPr>
        <w:pBdr/>
        <w:spacing/>
        <w:ind/>
        <w:jc w:val="both"/>
        <w:rPr/>
      </w:pPr>
      <w:r>
        <w:t xml:space="preserve">3.  Tasa de Aplicación del Triage Estandarizado (% de pacientes ingresados al sistema con triage válido).</w:t>
      </w:r>
      <w:r/>
      <w:r/>
    </w:p>
    <w:p w14:paraId="071EC22E">
      <w:pPr>
        <w:pBdr/>
        <w:spacing/>
        <w:ind/>
        <w:jc w:val="both"/>
        <w:rPr/>
      </w:pPr>
      <w:r>
        <w:t xml:space="preserve">4.  Número de Derivaciones Inter-guardias Coordinadas por el CMAC.</w:t>
      </w:r>
      <w:r/>
      <w:r/>
    </w:p>
    <w:p w14:paraId="4C00303B">
      <w:pPr>
        <w:pBdr/>
        <w:spacing/>
        <w:ind/>
        <w:jc w:val="both"/>
        <w:rPr/>
      </w:pPr>
      <w:r>
        <w:t xml:space="preserve">5.  Grado de Interoperabilidad Alcanzado (% de guardias conectadas en tiempo real).</w:t>
      </w:r>
      <w:r/>
      <w:r/>
    </w:p>
    <w:p w14:paraId="18D221A7">
      <w:pPr>
        <w:pBdr/>
        <w:spacing/>
        <w:ind/>
        <w:jc w:val="both"/>
        <w:rPr/>
      </w:pPr>
      <w:r>
        <w:t xml:space="preserve">6.  Satisfacción del Profesional con las herramientas de gestión (encuesta periódica).</w:t>
      </w:r>
      <w:r/>
      <w:r/>
    </w:p>
    <w:p w14:paraId="357401A5">
      <w:pPr>
        <w:pBdr/>
        <w:shd w:val="nil"/>
        <w:spacing/>
        <w:ind/>
        <w:rPr/>
      </w:pPr>
      <w:r>
        <w:rPr>
          <w:highlight w:val="none"/>
        </w:rPr>
        <w:br w:type="page" w:clear="all"/>
      </w:r>
      <w:r>
        <w:rPr>
          <w:highlight w:val="none"/>
        </w:rPr>
      </w:r>
      <w:r>
        <w:rPr>
          <w:highlight w:val="none"/>
        </w:rPr>
      </w:r>
    </w:p>
    <w:p w14:paraId="5B6B991F">
      <w:pPr>
        <w:pBdr/>
        <w:spacing/>
        <w:ind/>
        <w:jc w:val="both"/>
        <w:rPr>
          <w:color w:val="ff0000"/>
          <w:highlight w:val="none"/>
        </w:rPr>
      </w:pPr>
      <w:r>
        <w:rPr>
          <w:color w:val="ff0000"/>
        </w:rPr>
        <w:t xml:space="preserve">Consideraciones Clave (Riesgos y Mitigación)</w:t>
      </w:r>
      <w:r>
        <w:rPr>
          <w:color w:val="ff0000"/>
        </w:rPr>
      </w:r>
      <w:r>
        <w:rPr>
          <w:color w:val="ff0000"/>
        </w:rPr>
      </w:r>
    </w:p>
    <w:p w14:paraId="41FAE204">
      <w:pPr>
        <w:pBdr/>
        <w:spacing/>
        <w:ind/>
        <w:jc w:val="both"/>
        <w:rPr>
          <w:color w:val="ff0000"/>
        </w:rPr>
      </w:pPr>
      <w:r>
        <w:rPr>
          <w:color w:val="ff0000"/>
        </w:rPr>
      </w:r>
      <w:r>
        <w:rPr>
          <w:color w:val="ff0000"/>
        </w:rPr>
      </w:r>
      <w:r>
        <w:rPr>
          <w:color w:val="ff0000"/>
        </w:rPr>
      </w:r>
    </w:p>
    <w:p w14:paraId="3430AB5D">
      <w:pPr>
        <w:pBdr/>
        <w:spacing/>
        <w:ind/>
        <w:jc w:val="both"/>
        <w:rPr>
          <w:color w:val="ff0000"/>
        </w:rPr>
      </w:pPr>
      <w:r>
        <w:rPr>
          <w:color w:val="ff0000"/>
        </w:rPr>
        <w:t xml:space="preserve">   Riesgo 1: Resistencia al Cambio por Parte de los Equipos de Guardia.</w:t>
      </w:r>
      <w:r>
        <w:rPr>
          <w:color w:val="ff0000"/>
        </w:rPr>
      </w:r>
      <w:r>
        <w:rPr>
          <w:color w:val="ff0000"/>
        </w:rPr>
      </w:r>
    </w:p>
    <w:p w14:paraId="06E52CE6">
      <w:pPr>
        <w:pBdr/>
        <w:spacing/>
        <w:ind/>
        <w:jc w:val="both"/>
        <w:rPr>
          <w:color w:val="ff0000"/>
        </w:rPr>
      </w:pPr>
      <w:r>
        <w:rPr>
          <w:color w:val="ff0000"/>
        </w:rPr>
        <w:t xml:space="preserve">       Mitigación: Involucramiento de jefes de guardia desde el comité clínico, comunicación clara de beneficios (menos caos, más apoyo), y capacitación in situ con apoyo de pares.</w:t>
      </w:r>
      <w:r>
        <w:rPr>
          <w:color w:val="ff0000"/>
        </w:rPr>
      </w:r>
      <w:r>
        <w:rPr>
          <w:color w:val="ff0000"/>
        </w:rPr>
      </w:r>
    </w:p>
    <w:p w14:paraId="391D8517">
      <w:pPr>
        <w:pBdr/>
        <w:spacing/>
        <w:ind/>
        <w:jc w:val="both"/>
        <w:rPr>
          <w:color w:val="ff0000"/>
        </w:rPr>
      </w:pPr>
      <w:r>
        <w:rPr>
          <w:color w:val="ff0000"/>
        </w:rPr>
      </w:r>
      <w:r>
        <w:rPr>
          <w:color w:val="ff0000"/>
        </w:rPr>
      </w:r>
      <w:r>
        <w:rPr>
          <w:color w:val="ff0000"/>
        </w:rPr>
      </w:r>
    </w:p>
    <w:p w14:paraId="490F02ED">
      <w:pPr>
        <w:pBdr/>
        <w:spacing/>
        <w:ind/>
        <w:jc w:val="both"/>
        <w:rPr>
          <w:color w:val="ff0000"/>
        </w:rPr>
      </w:pPr>
      <w:r>
        <w:rPr>
          <w:color w:val="ff0000"/>
        </w:rPr>
        <w:t xml:space="preserve">   Riesgo 2: Dificultad Técnica para Integrar Sistemas de Información muy Heterogéneos o Arcaicos.</w:t>
      </w:r>
      <w:r>
        <w:rPr>
          <w:color w:val="ff0000"/>
        </w:rPr>
      </w:r>
      <w:r>
        <w:rPr>
          <w:color w:val="ff0000"/>
        </w:rPr>
      </w:r>
    </w:p>
    <w:p w14:paraId="12E100C5">
      <w:pPr>
        <w:pBdr/>
        <w:spacing/>
        <w:ind/>
        <w:jc w:val="both"/>
        <w:rPr>
          <w:color w:val="ff0000"/>
        </w:rPr>
      </w:pPr>
      <w:r>
        <w:rPr>
          <w:color w:val="ff0000"/>
        </w:rPr>
        <w:t xml:space="preserve">       Mitigación: Para sistemas muy antiguos, se proveerá un módulo web ligero ("módulo SIGMA-NQN") para el registro mínimo de datos de guardia (triage, tiempo de ingreso), que luego se integrará a la plataforma central.</w:t>
      </w:r>
      <w:r>
        <w:rPr>
          <w:color w:val="ff0000"/>
        </w:rPr>
      </w:r>
      <w:r>
        <w:rPr>
          <w:color w:val="ff0000"/>
        </w:rPr>
      </w:r>
    </w:p>
    <w:p w14:paraId="2BCA3AE0">
      <w:pPr>
        <w:pBdr/>
        <w:spacing/>
        <w:ind/>
        <w:jc w:val="both"/>
        <w:rPr>
          <w:color w:val="ff0000"/>
        </w:rPr>
      </w:pPr>
      <w:r>
        <w:rPr>
          <w:color w:val="ff0000"/>
        </w:rPr>
      </w:r>
      <w:r>
        <w:rPr>
          <w:color w:val="ff0000"/>
        </w:rPr>
      </w:r>
      <w:r>
        <w:rPr>
          <w:color w:val="ff0000"/>
        </w:rPr>
      </w:r>
    </w:p>
    <w:p w14:paraId="183DA542">
      <w:pPr>
        <w:pBdr/>
        <w:spacing/>
        <w:ind/>
        <w:jc w:val="both"/>
        <w:rPr>
          <w:color w:val="ff0000"/>
        </w:rPr>
      </w:pPr>
      <w:r>
        <w:rPr>
          <w:color w:val="ff0000"/>
        </w:rPr>
        <w:t xml:space="preserve">   Riesgo 3: Sostenibilidad del CMAC y de la Plataforma Tecnológica.</w:t>
      </w:r>
      <w:r>
        <w:rPr>
          <w:color w:val="ff0000"/>
        </w:rPr>
      </w:r>
      <w:r>
        <w:rPr>
          <w:color w:val="ff0000"/>
        </w:rPr>
      </w:r>
    </w:p>
    <w:p w14:paraId="4CAAF3FE">
      <w:pPr>
        <w:pBdr/>
        <w:spacing/>
        <w:ind/>
        <w:jc w:val="both"/>
        <w:rPr>
          <w:color w:val="ff0000"/>
        </w:rPr>
      </w:pPr>
      <w:r>
        <w:rPr>
          <w:color w:val="ff0000"/>
        </w:rPr>
        <w:t xml:space="preserve">       Mitigación: Inclusión de los costos de operación y mantenimiento en el presupuesto anual de salud informática del Ministerio. Demostración del ahorro por optimización para justificar la inversión recurrente.</w:t>
      </w:r>
      <w:r>
        <w:rPr>
          <w:color w:val="ff0000"/>
        </w:rPr>
      </w:r>
      <w:r>
        <w:rPr>
          <w:color w:val="ff0000"/>
        </w:rPr>
      </w:r>
    </w:p>
    <w:p w14:paraId="21F365EA">
      <w:pPr>
        <w:pBdr/>
        <w:spacing/>
        <w:ind/>
        <w:jc w:val="both"/>
        <w:rPr>
          <w:color w:val="ff0000"/>
        </w:rPr>
      </w:pPr>
      <w:r>
        <w:rPr>
          <w:color w:val="ff0000"/>
        </w:rPr>
      </w:r>
      <w:r>
        <w:rPr>
          <w:color w:val="ff0000"/>
        </w:rPr>
      </w:r>
      <w:r>
        <w:rPr>
          <w:color w:val="ff0000"/>
        </w:rPr>
      </w:r>
    </w:p>
    <w:p w14:paraId="33AD0CBD">
      <w:pPr>
        <w:pBdr/>
        <w:spacing/>
        <w:ind/>
        <w:jc w:val="both"/>
        <w:rPr>
          <w:color w:val="ff0000"/>
        </w:rPr>
      </w:pPr>
      <w:r>
        <w:rPr>
          <w:color w:val="ff0000"/>
        </w:rPr>
        <w:t xml:space="preserve">   Riesgo 4: Falta de Adhesión de Algunos Establecimientos.</w:t>
      </w:r>
      <w:r>
        <w:rPr>
          <w:color w:val="ff0000"/>
        </w:rPr>
      </w:r>
      <w:r>
        <w:rPr>
          <w:color w:val="ff0000"/>
        </w:rPr>
      </w:r>
    </w:p>
    <w:p w14:paraId="7953E1D6">
      <w:pPr>
        <w:pBdr/>
        <w:spacing/>
        <w:ind/>
        <w:jc w:val="both"/>
        <w:rPr>
          <w:color w:val="ff0000"/>
          <w:highlight w:val="none"/>
        </w:rPr>
      </w:pPr>
      <w:r>
        <w:rPr>
          <w:color w:val="ff0000"/>
        </w:rPr>
        <w:t xml:space="preserve">       Mitigación: Establecer la adhesión al SIGMA-NQN y el uso del triage estandarizado como requisito para la acreditación y financiamiento de los servicios de guardia por parte del Ministerio.</w:t>
      </w:r>
      <w:r>
        <w:rPr>
          <w:color w:val="ff0000"/>
        </w:rPr>
      </w:r>
      <w:r>
        <w:rPr>
          <w:color w:val="ff0000"/>
        </w:rPr>
      </w:r>
    </w:p>
    <w:p w14:paraId="1DDDC8E7">
      <w:pPr>
        <w:pStyle w:val="970"/>
        <w:numPr>
          <w:ilvl w:val="0"/>
          <w:numId w:val="10"/>
        </w:numPr>
        <w:pBdr>
          <w:top w:val="none" w:color="000000" w:sz="4" w:space="0"/>
          <w:left w:val="none" w:color="000000" w:sz="4" w:space="0"/>
          <w:bottom w:val="none" w:color="000000" w:sz="4" w:space="0"/>
          <w:right w:val="none" w:color="000000" w:sz="4" w:space="0"/>
        </w:pBdr>
        <w:spacing/>
        <w:ind w:right="0"/>
        <w:rPr>
          <w:color w:val="ff0000"/>
        </w:rPr>
      </w:pPr>
      <w:r>
        <w:rPr>
          <w:rFonts w:ascii="Times New Roman" w:hAnsi="Times New Roman" w:eastAsia="Times New Roman" w:cs="Times New Roman"/>
          <w:b/>
          <w:color w:val="ff0000"/>
          <w:sz w:val="24"/>
        </w:rPr>
        <w:t xml:space="preserve">Resistencia al cambio:</w:t>
      </w:r>
      <w:r>
        <w:rPr>
          <w:rFonts w:ascii="Times New Roman" w:hAnsi="Times New Roman" w:eastAsia="Times New Roman" w:cs="Times New Roman"/>
          <w:color w:val="ff0000"/>
          <w:sz w:val="24"/>
        </w:rPr>
        <w:t xml:space="preserve"> mitigada mediante capacitación y participación temprana.</w:t>
      </w:r>
      <w:r>
        <w:rPr>
          <w:color w:val="ff0000"/>
        </w:rPr>
      </w:r>
      <w:r>
        <w:rPr>
          <w:color w:val="ff0000"/>
        </w:rPr>
      </w:r>
    </w:p>
    <w:p w14:paraId="0FAE932A">
      <w:pPr>
        <w:pStyle w:val="970"/>
        <w:numPr>
          <w:ilvl w:val="0"/>
          <w:numId w:val="10"/>
        </w:numPr>
        <w:pBdr>
          <w:top w:val="none" w:color="000000" w:sz="4" w:space="0"/>
          <w:left w:val="none" w:color="000000" w:sz="4" w:space="0"/>
          <w:bottom w:val="none" w:color="000000" w:sz="4" w:space="0"/>
          <w:right w:val="none" w:color="000000" w:sz="4" w:space="0"/>
        </w:pBdr>
        <w:spacing/>
        <w:ind w:right="0"/>
        <w:rPr>
          <w:color w:val="ff0000"/>
        </w:rPr>
      </w:pPr>
      <w:r>
        <w:rPr>
          <w:rFonts w:ascii="Times New Roman" w:hAnsi="Times New Roman" w:eastAsia="Times New Roman" w:cs="Times New Roman"/>
          <w:b/>
          <w:color w:val="ff0000"/>
          <w:sz w:val="24"/>
        </w:rPr>
        <w:t xml:space="preserve">Complejidad técnica:</w:t>
      </w:r>
      <w:r>
        <w:rPr>
          <w:rFonts w:ascii="Times New Roman" w:hAnsi="Times New Roman" w:eastAsia="Times New Roman" w:cs="Times New Roman"/>
          <w:color w:val="ff0000"/>
          <w:sz w:val="24"/>
        </w:rPr>
        <w:t xml:space="preserve"> mitigada con arquitectura modular y estándares.</w:t>
      </w:r>
      <w:r>
        <w:rPr>
          <w:color w:val="ff0000"/>
        </w:rPr>
      </w:r>
      <w:r>
        <w:rPr>
          <w:color w:val="ff0000"/>
        </w:rPr>
      </w:r>
    </w:p>
    <w:p w14:paraId="0E521938">
      <w:pPr>
        <w:pStyle w:val="970"/>
        <w:numPr>
          <w:ilvl w:val="0"/>
          <w:numId w:val="10"/>
        </w:numPr>
        <w:pBdr>
          <w:top w:val="none" w:color="000000" w:sz="4" w:space="0"/>
          <w:left w:val="none" w:color="000000" w:sz="4" w:space="0"/>
          <w:bottom w:val="none" w:color="000000" w:sz="4" w:space="0"/>
          <w:right w:val="none" w:color="000000" w:sz="4" w:space="0"/>
        </w:pBdr>
        <w:spacing/>
        <w:ind w:right="0"/>
        <w:rPr>
          <w:color w:val="ff0000"/>
        </w:rPr>
      </w:pPr>
      <w:r>
        <w:rPr>
          <w:rFonts w:ascii="Times New Roman" w:hAnsi="Times New Roman" w:eastAsia="Times New Roman" w:cs="Times New Roman"/>
          <w:b/>
          <w:color w:val="ff0000"/>
          <w:sz w:val="24"/>
        </w:rPr>
        <w:t xml:space="preserve">Sostenibilidad financiera:</w:t>
      </w:r>
      <w:r>
        <w:rPr>
          <w:rFonts w:ascii="Times New Roman" w:hAnsi="Times New Roman" w:eastAsia="Times New Roman" w:cs="Times New Roman"/>
          <w:color w:val="ff0000"/>
          <w:sz w:val="24"/>
        </w:rPr>
        <w:t xml:space="preserve"> mitigada con implementación por fases.</w:t>
      </w:r>
      <w:r>
        <w:rPr>
          <w:color w:val="ff0000"/>
        </w:rPr>
      </w:r>
      <w:r>
        <w:rPr>
          <w:color w:val="ff0000"/>
        </w:rPr>
      </w:r>
    </w:p>
    <w:p w14:paraId="0CEF22F6">
      <w:pPr>
        <w:pBdr/>
        <w:shd w:val="nil"/>
        <w:spacing/>
        <w:ind/>
        <w:rPr>
          <w:color w:val="000000" w:themeColor="text1"/>
        </w:rPr>
      </w:pPr>
      <w:r>
        <w:rPr>
          <w:color w:val="000000" w:themeColor="text1"/>
        </w:rPr>
        <w:br w:type="page" w:clear="all"/>
      </w:r>
      <w:r>
        <w:rPr>
          <w:color w:val="000000" w:themeColor="text1"/>
        </w:rPr>
      </w:r>
      <w:r>
        <w:rPr>
          <w:color w:val="000000" w:themeColor="text1"/>
        </w:rPr>
      </w:r>
    </w:p>
    <w:p w14:paraId="4951DB07">
      <w:pPr>
        <w:pBdr/>
        <w:spacing/>
        <w:ind/>
        <w:jc w:val="center"/>
        <w:rPr>
          <w:b/>
          <w:bCs/>
        </w:rPr>
      </w:pPr>
      <w:r>
        <w:rPr>
          <w:b/>
          <w:bCs/>
        </w:rPr>
        <w:t xml:space="preserve">CONCLUSIÓN Y RECOMENDACIÓN ESTRATÉGICA</w:t>
      </w:r>
      <w:r>
        <w:rPr>
          <w:b/>
          <w:bCs/>
        </w:rPr>
      </w:r>
      <w:r>
        <w:rPr>
          <w:b/>
          <w:bCs/>
        </w:rPr>
      </w:r>
    </w:p>
    <w:p w14:paraId="66CF7BAD">
      <w:pPr>
        <w:pBdr/>
        <w:spacing/>
        <w:ind/>
        <w:jc w:val="both"/>
        <w:rPr/>
      </w:pPr>
      <w:r/>
      <w:r/>
      <w:r/>
    </w:p>
    <w:p w14:paraId="0BDE8548">
      <w:pPr>
        <w:pBdr/>
        <w:spacing/>
        <w:ind/>
        <w:jc w:val="both"/>
        <w:rPr/>
      </w:pPr>
      <w:r>
        <w:t xml:space="preserve">Sr. Ministro, el Sistema Provincial Integrado de Gestión de Guardias Médicas (SIGMA-NQN) representa una intervención fundamental para ejercer una rectoría efectiva sobre el componente más sensible y visible del sistema de salud: la atención de urgencias</w:t>
      </w:r>
      <w:r>
        <w:t xml:space="preserve">. Transforma la actual red de "islas" en un verdadero sistema organizado, visible y gobernable.</w:t>
      </w:r>
      <w:r/>
      <w:r/>
    </w:p>
    <w:p w14:paraId="56BE6877">
      <w:pPr>
        <w:pBdr/>
        <w:spacing/>
        <w:ind/>
        <w:jc w:val="both"/>
        <w:rPr/>
      </w:pPr>
      <w:r/>
      <w:r/>
      <w:r/>
    </w:p>
    <w:p w14:paraId="475CF234">
      <w:pPr>
        <w:pBdr/>
        <w:spacing/>
        <w:ind/>
        <w:jc w:val="both"/>
        <w:rPr/>
      </w:pPr>
      <w:r>
        <w:t xml:space="preserve">E</w:t>
      </w:r>
      <w:r>
        <w:t xml:space="preserve">ste proyecto está alineado con el objetivo estratégico de garantizar equidad y calidad en la atención. Permite pasar de la gestión reactiva y fragmentada a una gestión proactiva, basada en datos y centrada en las necesidades del paciente y en el apoyo al p</w:t>
      </w:r>
      <w:r>
        <w:t xml:space="preserve">rofesional.</w:t>
      </w:r>
      <w:r/>
      <w:r/>
    </w:p>
    <w:p w14:paraId="4F4DBDBD">
      <w:pPr>
        <w:pBdr/>
        <w:spacing/>
        <w:ind/>
        <w:jc w:val="both"/>
        <w:rPr/>
      </w:pPr>
      <w:r/>
      <w:r/>
      <w:r/>
    </w:p>
    <w:p w14:paraId="18BA8E21">
      <w:pPr>
        <w:pBdr/>
        <w:spacing/>
        <w:ind/>
        <w:jc w:val="both"/>
        <w:rPr/>
      </w:pPr>
      <w:r>
        <w:t xml:space="preserve">Solicitud de Acción Concreta:</w:t>
      </w:r>
      <w:r/>
      <w:r/>
    </w:p>
    <w:p w14:paraId="62BF3B6A">
      <w:pPr>
        <w:pBdr/>
        <w:spacing/>
        <w:ind/>
        <w:jc w:val="both"/>
        <w:rPr/>
      </w:pPr>
      <w:r/>
      <w:r/>
      <w:r/>
    </w:p>
    <w:p w14:paraId="1DE19DCF">
      <w:pPr>
        <w:pBdr/>
        <w:spacing/>
        <w:ind/>
        <w:jc w:val="both"/>
        <w:rPr/>
      </w:pPr>
      <w:r>
        <w:t xml:space="preserve">Se recomienda formalmente a su despacho:</w:t>
      </w:r>
      <w:r/>
      <w:r/>
    </w:p>
    <w:p w14:paraId="56385752">
      <w:pPr>
        <w:pBdr/>
        <w:spacing/>
        <w:ind/>
        <w:jc w:val="both"/>
        <w:rPr/>
      </w:pPr>
      <w:r/>
      <w:r/>
      <w:r/>
    </w:p>
    <w:p w14:paraId="77BBE778">
      <w:pPr>
        <w:pBdr/>
        <w:spacing/>
        <w:ind/>
        <w:jc w:val="both"/>
        <w:rPr/>
      </w:pPr>
      <w:r>
        <w:t xml:space="preserve">1.  Emitir una Resolución Ministerial que: a) Cree formalmente la Unidad Ejecutora del Proyecto SIGMA-NQN; y b) Establezca el Comité Rector y el Comité Clínico-Técnico.</w:t>
      </w:r>
      <w:r/>
      <w:r/>
    </w:p>
    <w:p w14:paraId="5A7927F7">
      <w:pPr>
        <w:pBdr/>
        <w:spacing/>
        <w:ind/>
        <w:jc w:val="both"/>
        <w:rPr/>
      </w:pPr>
      <w:r>
        <w:t xml:space="preserve">2.  Autorizar y asignar los recursos presupuestarios iniciales para la Fase 1 (Diseño Detallado y Piloto), permitiendo iniciar el proceso de desarrollo e integración tecnológica y, lo más importante, comenzar a unificar los criterios clínicos en las</w:t>
      </w:r>
      <w:r>
        <w:t xml:space="preserve"> guardias piloto.</w:t>
      </w:r>
      <w:r/>
      <w:r/>
    </w:p>
    <w:p w14:paraId="6CFDEB82">
      <w:pPr>
        <w:pBdr/>
        <w:spacing/>
        <w:ind/>
        <w:jc w:val="both"/>
        <w:rPr/>
      </w:pPr>
      <w:r/>
      <w:r/>
      <w:r/>
    </w:p>
    <w:p w14:paraId="6A93DBB8">
      <w:pPr>
        <w:pBdr/>
        <w:spacing/>
        <w:ind/>
        <w:jc w:val="both"/>
        <w:rPr/>
      </w:pPr>
      <w:r>
        <w:t xml:space="preserve">Con su liderazgo y aprobación, la Provincia del Neuquén dará un salto cualitativo histórico hacia un sistema de guardias integrado, inteligente y justo.</w:t>
      </w:r>
      <w:r/>
      <w:r/>
    </w:p>
    <w:p w14:paraId="3205EF91">
      <w:pPr>
        <w:pBdr>
          <w:top w:val="none" w:color="000000" w:sz="4" w:space="0"/>
          <w:left w:val="none" w:color="000000" w:sz="4" w:space="0"/>
          <w:bottom w:val="none" w:color="000000" w:sz="4" w:space="0"/>
          <w:right w:val="none" w:color="000000" w:sz="4" w:space="0"/>
        </w:pBdr>
        <w:spacing/>
        <w:ind w:right="0" w:firstLine="0" w:left="0"/>
        <w:rPr>
          <w:color w:val="ff0000"/>
        </w:rPr>
      </w:pPr>
      <w:r>
        <w:rPr>
          <w:color w:val="ff0000"/>
          <w:highlight w:val="none"/>
        </w:rPr>
      </w:r>
      <w:r>
        <w:rPr>
          <w:color w:val="ff0000"/>
          <w:highlight w:val="none"/>
        </w:rPr>
      </w:r>
      <w:r>
        <w:rPr>
          <w:color w:val="ff0000"/>
          <w:highlight w:val="none"/>
        </w:rPr>
      </w:r>
    </w:p>
    <w:p w14:paraId="1624A0C1">
      <w:pPr>
        <w:pBdr/>
        <w:spacing/>
        <w:ind/>
        <w:jc w:val="both"/>
        <w:rPr/>
      </w:pPr>
      <w:r>
        <w:rPr>
          <w:highlight w:val="none"/>
        </w:rPr>
      </w:r>
      <w:r>
        <w:rPr>
          <w:highlight w:val="none"/>
        </w:rPr>
      </w:r>
      <w:r>
        <w:rPr>
          <w:highlight w:val="none"/>
        </w:rPr>
      </w:r>
    </w:p>
    <w:p w14:paraId="629B6DBE">
      <w:pPr>
        <w:pBdr/>
        <w:spacing/>
        <w:ind/>
        <w:jc w:val="both"/>
        <w:rPr/>
      </w:pPr>
      <w:r>
        <w:rPr>
          <w:highlight w:val="none"/>
        </w:rPr>
      </w:r>
      <w:r>
        <w:rPr>
          <w:highlight w:val="none"/>
        </w:rPr>
      </w:r>
      <w:r>
        <w:rPr>
          <w:highlight w:val="none"/>
        </w:rPr>
      </w:r>
    </w:p>
    <w:p w14:paraId="61F415D9">
      <w:pPr>
        <w:pBdr/>
        <w:spacing/>
        <w:ind/>
        <w:jc w:val="both"/>
        <w:rPr/>
      </w:pPr>
      <w:r>
        <w:rPr>
          <w:highlight w:val="none"/>
        </w:rPr>
      </w:r>
      <w:r>
        <w:rPr>
          <w:highlight w:val="none"/>
        </w:rPr>
      </w:r>
      <w:r>
        <w:rPr>
          <w:highlight w:val="none"/>
        </w:rPr>
      </w:r>
    </w:p>
    <w:p w14:paraId="5F835B5E">
      <w:pPr>
        <w:pBdr>
          <w:top w:val="none" w:color="000000" w:sz="4" w:space="0"/>
          <w:left w:val="none" w:color="000000" w:sz="4" w:space="0"/>
          <w:bottom w:val="none" w:color="000000" w:sz="4" w:space="0"/>
          <w:right w:val="none" w:color="000000" w:sz="4" w:space="0"/>
        </w:pBdr>
        <w:spacing/>
        <w:ind/>
        <w:jc w:val="both"/>
        <w:rPr>
          <w14:ligatures w14:val="none"/>
        </w:rPr>
      </w:pPr>
      <w:r>
        <w:rPr>
          <w:highlight w:val="none"/>
        </w:rPr>
      </w:r>
      <w:r>
        <w:rPr>
          <w:highlight w:val="none"/>
        </w:rPr>
      </w:r>
      <w:r>
        <w:rPr>
          <w:highlight w:val="none"/>
        </w:rPr>
      </w:r>
    </w:p>
    <w:p w14:paraId="3B0938A5">
      <w:pPr>
        <w:pBdr/>
        <w:spacing/>
        <w:ind/>
        <w:jc w:val="both"/>
        <w:rPr>
          <w14:ligatures w14:val="none"/>
        </w:rPr>
      </w:pPr>
      <w:r>
        <w:rPr>
          <w:lang w:val="undefined" w:bidi="undefined"/>
        </w:rPr>
      </w:r>
      <w:r>
        <w:rPr>
          <w:lang w:val="undefined" w:bidi="undefined"/>
        </w:rPr>
      </w:r>
      <w:r>
        <w:rPr>
          <w:lang w:val="undefined"/>
        </w:rPr>
      </w:r>
    </w:p>
    <w:sectPr>
      <w:headerReference w:type="default" r:id="rId9"/>
      <w:headerReference w:type="even" r:id="rId10"/>
      <w:footerReference w:type="default" r:id="rId11"/>
      <w:footnotePr/>
      <w:endnotePr/>
      <w:type w:val="continuous"/>
      <w:pgSz w:h="16839" w:orient="portrait" w:w="11907"/>
      <w:pgMar w:top="1985" w:right="1185" w:bottom="1418" w:left="1418" w:header="709" w:footer="446"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23A5A72E" w14:textId="77777777">
      <w:pPr>
        <w:pBdr/>
        <w:spacing w:after="0" w:line="240" w:lineRule="auto"/>
        <w:ind/>
        <w:rPr/>
      </w:pPr>
      <w:r>
        <w:separator/>
      </w:r>
      <w:r/>
    </w:p>
  </w:endnote>
  <w:endnote w:type="continuationSeparator" w:id="0">
    <w:p w14:paraId="3C1D5A1C"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Symbol">
    <w:panose1 w:val="05050102010706020507"/>
  </w:font>
  <w:font w:name="Wingdings">
    <w:panose1 w:val="05000000000000000000"/>
  </w:font>
  <w:font w:name="Courier New">
    <w:panose1 w:val="02070309020205020404"/>
  </w:font>
  <w:font w:name="Tahoma">
    <w:panose1 w:val="020B0604030504040204"/>
  </w:font>
  <w:font w:name="Calibri">
    <w:panose1 w:val="020F0502020204030204"/>
  </w:font>
  <w:font w:name="Manrope">
    <w:panose1 w:val="05040102010807070707"/>
  </w:font>
  <w:font w:name="Arial">
    <w:panose1 w:val="020B0604020202020204"/>
  </w:font>
  <w:font w:name="Montserrat">
    <w:panose1 w:val="05040102010807070707"/>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9A6EC28">
    <w:pPr>
      <w:pStyle w:val="964"/>
      <w:pBdr/>
      <w:spacing/>
      <w:ind/>
      <w:jc w:val="right"/>
      <w:rPr/>
    </w:pPr>
    <w:fldSimple w:instr="PAGE \* MERGEFORMAT">
      <w:r>
        <w:t xml:space="preserve">1</w:t>
      </w:r>
    </w:fldSimple>
    <w:r/>
    <w:r/>
  </w:p>
  <w:p w14:paraId="40DB5345">
    <w:pPr>
      <w:pStyle w:val="964"/>
      <w:pBdr/>
      <w:spacing/>
      <w:ind/>
      <w:rPr/>
    </w:p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4BDC3C30" w14:textId="77777777">
      <w:pPr>
        <w:pBdr/>
        <w:spacing w:after="0" w:line="240" w:lineRule="auto"/>
        <w:ind/>
        <w:rPr/>
      </w:pPr>
      <w:r>
        <w:separator/>
      </w:r>
      <w:r/>
    </w:p>
  </w:footnote>
  <w:footnote w:type="continuationSeparator" w:id="0">
    <w:p w14:paraId="572D10FB" w14:textId="77777777">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8C356F8" w14:textId="0803230D">
    <w:pPr>
      <w:pStyle w:val="962"/>
      <w:pBdr/>
      <w:spacing/>
      <w:ind/>
      <w:jc w:val="center"/>
      <w:rPr/>
    </w:pPr>
    <w: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column">
                <wp:posOffset>-892810</wp:posOffset>
              </wp:positionH>
              <wp:positionV relativeFrom="paragraph">
                <wp:posOffset>-313055</wp:posOffset>
              </wp:positionV>
              <wp:extent cx="7563810" cy="93599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738434" name="Imagen 1"/>
                      <pic:cNvPicPr>
                        <a:picLocks noChangeAspect="1"/>
                      </pic:cNvPicPr>
                      <pic:nvPr/>
                    </pic:nvPicPr>
                    <pic:blipFill rotWithShape="1">
                      <a:blip r:embed="rId1"/>
                      <a:stretch/>
                    </pic:blipFill>
                    <pic:spPr bwMode="auto">
                      <a:xfrm>
                        <a:off x="0" y="0"/>
                        <a:ext cx="7563810" cy="935990"/>
                      </a:xfrm>
                      <a:prstGeom prst="rect">
                        <a:avLst/>
                      </a:prstGeom>
                      <a:noFill/>
                      <a:ln>
                        <a:noFill/>
                      </a:ln>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8240;o:allowoverlap:true;o:allowincell:true;mso-position-horizontal-relative:text;margin-left:-70.30pt;mso-position-horizontal:absolute;mso-position-vertical-relative:text;margin-top:-24.65pt;mso-position-vertical:absolute;width:595.58pt;height:73.70pt;mso-wrap-distance-left:9.00pt;mso-wrap-distance-top:0.00pt;mso-wrap-distance-right:9.00pt;mso-wrap-distance-bottom:0.00pt;z-index:1;" stroked="f">
              <v:imagedata r:id="rId1" o:title=""/>
              <o:lock v:ext="edit" rotation="t"/>
            </v:shape>
          </w:pict>
        </mc:Fallback>
      </mc:AlternateContent>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F54FEC2" w14:textId="77777777">
    <w:pPr>
      <w:pStyle w:val="962"/>
      <w:pBdr/>
      <w:spacing/>
      <w:ind/>
      <w:rPr/>
    </w:pPr>
    <w:r>
      <w:rPr>
        <w:lang w:eastAsia="es-AR"/>
      </w:rPr>
      <mc:AlternateContent>
        <mc:Choice Requires="wpg">
          <w:drawing>
            <wp:inline xmlns:wp="http://schemas.openxmlformats.org/drawingml/2006/wordprocessingDrawing" distT="0" distB="0" distL="0" distR="0">
              <wp:extent cx="5600700" cy="876300"/>
              <wp:effectExtent l="0" t="0" r="0" b="0"/>
              <wp:docPr id="2" name="Imagen 12" descr="C:\Users\vali\Desktop\diaria\Memebrete Secretaría Gener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vali\Desktop\diaria\Memebrete Secretaría General.jpg"/>
                      <pic:cNvPicPr>
                        <a:picLocks noChangeAspect="1"/>
                      </pic:cNvPicPr>
                      <pic:nvPr/>
                    </pic:nvPicPr>
                    <pic:blipFill rotWithShape="1">
                      <a:blip r:embed="rId1"/>
                      <a:stretch/>
                    </pic:blipFill>
                    <pic:spPr bwMode="auto">
                      <a:xfrm>
                        <a:off x="0" y="0"/>
                        <a:ext cx="5600700" cy="876299"/>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41.00pt;height:69.00pt;mso-wrap-distance-left:0.00pt;mso-wrap-distance-top:0.00pt;mso-wrap-distance-right:0.00pt;mso-wrap-distance-bottom:0.00pt;z-index:1;" stroked="f">
              <v:imagedata r:id="rId1" o:title=""/>
              <o:lock v:ext="edit" rotation="t"/>
            </v:shape>
          </w:pict>
        </mc:Fallback>
      </mc:AlternateConten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D0F4B"/>
    <w:lvl w:ilvl="0">
      <w:isLgl w:val="false"/>
      <w:lvlJc w:val="left"/>
      <w:lvlText w:val="-"/>
      <w:numFmt w:val="bullet"/>
      <w:pPr>
        <w:pBdr/>
        <w:spacing/>
        <w:ind w:hanging="360" w:left="2350"/>
      </w:pPr>
      <w:rPr>
        <w:rFonts w:hint="default" w:ascii="Tahoma" w:hAnsi="Tahoma" w:eastAsia="Tahoma" w:cs="Tahoma"/>
      </w:rPr>
      <w:start w:val="1"/>
      <w:suff w:val="tab"/>
    </w:lvl>
    <w:lvl w:ilvl="1">
      <w:isLgl w:val="false"/>
      <w:lvlJc w:val="left"/>
      <w:lvlText w:val="o"/>
      <w:numFmt w:val="bullet"/>
      <w:pPr>
        <w:pBdr/>
        <w:spacing/>
        <w:ind w:hanging="360" w:left="3070"/>
      </w:pPr>
      <w:rPr>
        <w:rFonts w:hint="default" w:ascii="Courier New" w:hAnsi="Courier New" w:cs="Courier New"/>
      </w:rPr>
      <w:start w:val="1"/>
      <w:suff w:val="tab"/>
    </w:lvl>
    <w:lvl w:ilvl="2">
      <w:isLgl w:val="false"/>
      <w:lvlJc w:val="left"/>
      <w:lvlText w:val=""/>
      <w:numFmt w:val="bullet"/>
      <w:pPr>
        <w:pBdr/>
        <w:spacing/>
        <w:ind w:hanging="360" w:left="3790"/>
      </w:pPr>
      <w:rPr>
        <w:rFonts w:hint="default" w:ascii="Wingdings" w:hAnsi="Wingdings"/>
      </w:rPr>
      <w:start w:val="1"/>
      <w:suff w:val="tab"/>
    </w:lvl>
    <w:lvl w:ilvl="3">
      <w:isLgl w:val="false"/>
      <w:lvlJc w:val="left"/>
      <w:lvlText w:val=""/>
      <w:numFmt w:val="bullet"/>
      <w:pPr>
        <w:pBdr/>
        <w:spacing/>
        <w:ind w:hanging="360" w:left="4510"/>
      </w:pPr>
      <w:rPr>
        <w:rFonts w:hint="default" w:ascii="Symbol" w:hAnsi="Symbol"/>
      </w:rPr>
      <w:start w:val="1"/>
      <w:suff w:val="tab"/>
    </w:lvl>
    <w:lvl w:ilvl="4">
      <w:isLgl w:val="false"/>
      <w:lvlJc w:val="left"/>
      <w:lvlText w:val="o"/>
      <w:numFmt w:val="bullet"/>
      <w:pPr>
        <w:pBdr/>
        <w:spacing/>
        <w:ind w:hanging="360" w:left="5230"/>
      </w:pPr>
      <w:rPr>
        <w:rFonts w:hint="default" w:ascii="Courier New" w:hAnsi="Courier New" w:cs="Courier New"/>
      </w:rPr>
      <w:start w:val="1"/>
      <w:suff w:val="tab"/>
    </w:lvl>
    <w:lvl w:ilvl="5">
      <w:isLgl w:val="false"/>
      <w:lvlJc w:val="left"/>
      <w:lvlText w:val=""/>
      <w:numFmt w:val="bullet"/>
      <w:pPr>
        <w:pBdr/>
        <w:spacing/>
        <w:ind w:hanging="360" w:left="5950"/>
      </w:pPr>
      <w:rPr>
        <w:rFonts w:hint="default" w:ascii="Wingdings" w:hAnsi="Wingdings"/>
      </w:rPr>
      <w:start w:val="1"/>
      <w:suff w:val="tab"/>
    </w:lvl>
    <w:lvl w:ilvl="6">
      <w:isLgl w:val="false"/>
      <w:lvlJc w:val="left"/>
      <w:lvlText w:val=""/>
      <w:numFmt w:val="bullet"/>
      <w:pPr>
        <w:pBdr/>
        <w:spacing/>
        <w:ind w:hanging="360" w:left="6670"/>
      </w:pPr>
      <w:rPr>
        <w:rFonts w:hint="default" w:ascii="Symbol" w:hAnsi="Symbol"/>
      </w:rPr>
      <w:start w:val="1"/>
      <w:suff w:val="tab"/>
    </w:lvl>
    <w:lvl w:ilvl="7">
      <w:isLgl w:val="false"/>
      <w:lvlJc w:val="left"/>
      <w:lvlText w:val="o"/>
      <w:numFmt w:val="bullet"/>
      <w:pPr>
        <w:pBdr/>
        <w:spacing/>
        <w:ind w:hanging="360" w:left="7390"/>
      </w:pPr>
      <w:rPr>
        <w:rFonts w:hint="default" w:ascii="Courier New" w:hAnsi="Courier New" w:cs="Courier New"/>
      </w:rPr>
      <w:start w:val="1"/>
      <w:suff w:val="tab"/>
    </w:lvl>
    <w:lvl w:ilvl="8">
      <w:isLgl w:val="false"/>
      <w:lvlJc w:val="left"/>
      <w:lvlText w:val=""/>
      <w:numFmt w:val="bullet"/>
      <w:pPr>
        <w:pBdr/>
        <w:spacing/>
        <w:ind w:hanging="360" w:left="8110"/>
      </w:pPr>
      <w:rPr>
        <w:rFonts w:hint="default" w:ascii="Wingdings" w:hAnsi="Wingdings"/>
      </w:rPr>
      <w:start w:val="1"/>
      <w:suff w:val="tab"/>
    </w:lvl>
  </w:abstractNum>
  <w:abstractNum w:abstractNumId="1">
    <w:nsid w:val="0A9F39BD"/>
    <w:lvl w:ilvl="0">
      <w:isLgl w:val="false"/>
      <w:lvlJc w:val="left"/>
      <w:lvlText w:val="-"/>
      <w:numFmt w:val="bullet"/>
      <w:pPr>
        <w:pBdr/>
        <w:spacing/>
        <w:ind w:hanging="360" w:left="720"/>
      </w:pPr>
      <w:rPr>
        <w:rFonts w:hint="default" w:ascii="Montserrat" w:hAnsi="Montserrat" w:eastAsiaTheme="minorHAnsi" w:cstheme="minorBidi"/>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2C8E0147"/>
    <w:lvl w:ilvl="0">
      <w:isLgl w:val="false"/>
      <w:lvlJc w:val="left"/>
      <w:lvlText w:val="-"/>
      <w:numFmt w:val="bullet"/>
      <w:pPr>
        <w:pBdr/>
        <w:spacing/>
        <w:ind w:hanging="360" w:left="720"/>
      </w:pPr>
      <w:rPr>
        <w:rFonts w:hint="default" w:ascii="Arial" w:hAnsi="Arial" w:cs="Arial" w:eastAsiaTheme="minorHAnsi"/>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
    <w:nsid w:val="42A45A51"/>
    <w:lvl w:ilvl="0">
      <w:isLgl w:val="false"/>
      <w:lvlJc w:val="left"/>
      <w:lvlText w:val="-"/>
      <w:numFmt w:val="bullet"/>
      <w:pPr>
        <w:pBdr/>
        <w:spacing/>
        <w:ind w:hanging="360" w:left="720"/>
      </w:pPr>
      <w:rPr>
        <w:rFonts w:hint="default" w:ascii="Calibri" w:hAnsi="Calibri" w:eastAsiaTheme="minorHAnsi" w:cstheme="minorBidi"/>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
    <w:nsid w:val="5D892B5D"/>
    <w:lvl w:ilvl="0">
      <w:isLgl w:val="false"/>
      <w:lvlJc w:val="left"/>
      <w:lvlText w:val="-"/>
      <w:numFmt w:val="bullet"/>
      <w:pPr>
        <w:pBdr/>
        <w:spacing/>
        <w:ind w:hanging="360" w:left="2350"/>
      </w:pPr>
      <w:rPr>
        <w:rFonts w:hint="default" w:ascii="Tahoma" w:hAnsi="Tahoma" w:eastAsia="Tahoma" w:cs="Tahoma"/>
      </w:rPr>
      <w:start w:val="1"/>
      <w:suff w:val="tab"/>
    </w:lvl>
    <w:lvl w:ilvl="1">
      <w:isLgl w:val="false"/>
      <w:lvlJc w:val="left"/>
      <w:lvlText w:val="o"/>
      <w:numFmt w:val="bullet"/>
      <w:pPr>
        <w:pBdr/>
        <w:spacing/>
        <w:ind w:hanging="360" w:left="3070"/>
      </w:pPr>
      <w:rPr>
        <w:rFonts w:hint="default" w:ascii="Courier New" w:hAnsi="Courier New" w:cs="Courier New"/>
      </w:rPr>
      <w:start w:val="1"/>
      <w:suff w:val="tab"/>
    </w:lvl>
    <w:lvl w:ilvl="2">
      <w:isLgl w:val="false"/>
      <w:lvlJc w:val="left"/>
      <w:lvlText w:val=""/>
      <w:numFmt w:val="bullet"/>
      <w:pPr>
        <w:pBdr/>
        <w:spacing/>
        <w:ind w:hanging="360" w:left="3790"/>
      </w:pPr>
      <w:rPr>
        <w:rFonts w:hint="default" w:ascii="Wingdings" w:hAnsi="Wingdings"/>
      </w:rPr>
      <w:start w:val="1"/>
      <w:suff w:val="tab"/>
    </w:lvl>
    <w:lvl w:ilvl="3">
      <w:isLgl w:val="false"/>
      <w:lvlJc w:val="left"/>
      <w:lvlText w:val=""/>
      <w:numFmt w:val="bullet"/>
      <w:pPr>
        <w:pBdr/>
        <w:spacing/>
        <w:ind w:hanging="360" w:left="4510"/>
      </w:pPr>
      <w:rPr>
        <w:rFonts w:hint="default" w:ascii="Symbol" w:hAnsi="Symbol"/>
      </w:rPr>
      <w:start w:val="1"/>
      <w:suff w:val="tab"/>
    </w:lvl>
    <w:lvl w:ilvl="4">
      <w:isLgl w:val="false"/>
      <w:lvlJc w:val="left"/>
      <w:lvlText w:val="o"/>
      <w:numFmt w:val="bullet"/>
      <w:pPr>
        <w:pBdr/>
        <w:spacing/>
        <w:ind w:hanging="360" w:left="5230"/>
      </w:pPr>
      <w:rPr>
        <w:rFonts w:hint="default" w:ascii="Courier New" w:hAnsi="Courier New" w:cs="Courier New"/>
      </w:rPr>
      <w:start w:val="1"/>
      <w:suff w:val="tab"/>
    </w:lvl>
    <w:lvl w:ilvl="5">
      <w:isLgl w:val="false"/>
      <w:lvlJc w:val="left"/>
      <w:lvlText w:val=""/>
      <w:numFmt w:val="bullet"/>
      <w:pPr>
        <w:pBdr/>
        <w:spacing/>
        <w:ind w:hanging="360" w:left="5950"/>
      </w:pPr>
      <w:rPr>
        <w:rFonts w:hint="default" w:ascii="Wingdings" w:hAnsi="Wingdings"/>
      </w:rPr>
      <w:start w:val="1"/>
      <w:suff w:val="tab"/>
    </w:lvl>
    <w:lvl w:ilvl="6">
      <w:isLgl w:val="false"/>
      <w:lvlJc w:val="left"/>
      <w:lvlText w:val=""/>
      <w:numFmt w:val="bullet"/>
      <w:pPr>
        <w:pBdr/>
        <w:spacing/>
        <w:ind w:hanging="360" w:left="6670"/>
      </w:pPr>
      <w:rPr>
        <w:rFonts w:hint="default" w:ascii="Symbol" w:hAnsi="Symbol"/>
      </w:rPr>
      <w:start w:val="1"/>
      <w:suff w:val="tab"/>
    </w:lvl>
    <w:lvl w:ilvl="7">
      <w:isLgl w:val="false"/>
      <w:lvlJc w:val="left"/>
      <w:lvlText w:val="o"/>
      <w:numFmt w:val="bullet"/>
      <w:pPr>
        <w:pBdr/>
        <w:spacing/>
        <w:ind w:hanging="360" w:left="7390"/>
      </w:pPr>
      <w:rPr>
        <w:rFonts w:hint="default" w:ascii="Courier New" w:hAnsi="Courier New" w:cs="Courier New"/>
      </w:rPr>
      <w:start w:val="1"/>
      <w:suff w:val="tab"/>
    </w:lvl>
    <w:lvl w:ilvl="8">
      <w:isLgl w:val="false"/>
      <w:lvlJc w:val="left"/>
      <w:lvlText w:val=""/>
      <w:numFmt w:val="bullet"/>
      <w:pPr>
        <w:pBdr/>
        <w:spacing/>
        <w:ind w:hanging="360" w:left="8110"/>
      </w:pPr>
      <w:rPr>
        <w:rFonts w:hint="default" w:ascii="Wingdings" w:hAnsi="Wingdings"/>
      </w:rPr>
      <w:start w:val="1"/>
      <w:suff w:val="tab"/>
    </w:lvl>
  </w:abstractNum>
  <w:abstractNum w:abstractNumId="5">
    <w:nsid w:val="6CC47B4C"/>
    <w:lvl w:ilvl="0">
      <w:isLgl w:val="false"/>
      <w:lvlJc w:val="left"/>
      <w:lvlText w:val=""/>
      <w:numFmt w:val="bullet"/>
      <w:pPr>
        <w:pBdr/>
        <w:spacing/>
        <w:ind w:hanging="360" w:left="3555"/>
      </w:pPr>
      <w:rPr>
        <w:rFonts w:hint="default" w:ascii="Symbol" w:hAnsi="Symbol"/>
      </w:rPr>
      <w:start w:val="1"/>
      <w:suff w:val="tab"/>
    </w:lvl>
    <w:lvl w:ilvl="1">
      <w:isLgl w:val="false"/>
      <w:lvlJc w:val="left"/>
      <w:lvlText w:val="o"/>
      <w:numFmt w:val="bullet"/>
      <w:pPr>
        <w:pBdr/>
        <w:spacing/>
        <w:ind w:hanging="360" w:left="4275"/>
      </w:pPr>
      <w:rPr>
        <w:rFonts w:hint="default" w:ascii="Courier New" w:hAnsi="Courier New" w:cs="Courier New"/>
      </w:rPr>
      <w:start w:val="1"/>
      <w:suff w:val="tab"/>
    </w:lvl>
    <w:lvl w:ilvl="2">
      <w:isLgl w:val="false"/>
      <w:lvlJc w:val="left"/>
      <w:lvlText w:val=""/>
      <w:numFmt w:val="bullet"/>
      <w:pPr>
        <w:pBdr/>
        <w:spacing/>
        <w:ind w:hanging="360" w:left="4995"/>
      </w:pPr>
      <w:rPr>
        <w:rFonts w:hint="default" w:ascii="Wingdings" w:hAnsi="Wingdings"/>
      </w:rPr>
      <w:start w:val="1"/>
      <w:suff w:val="tab"/>
    </w:lvl>
    <w:lvl w:ilvl="3">
      <w:isLgl w:val="false"/>
      <w:lvlJc w:val="left"/>
      <w:lvlText w:val=""/>
      <w:numFmt w:val="bullet"/>
      <w:pPr>
        <w:pBdr/>
        <w:spacing/>
        <w:ind w:hanging="360" w:left="5715"/>
      </w:pPr>
      <w:rPr>
        <w:rFonts w:hint="default" w:ascii="Symbol" w:hAnsi="Symbol"/>
      </w:rPr>
      <w:start w:val="1"/>
      <w:suff w:val="tab"/>
    </w:lvl>
    <w:lvl w:ilvl="4">
      <w:isLgl w:val="false"/>
      <w:lvlJc w:val="left"/>
      <w:lvlText w:val="o"/>
      <w:numFmt w:val="bullet"/>
      <w:pPr>
        <w:pBdr/>
        <w:spacing/>
        <w:ind w:hanging="360" w:left="6435"/>
      </w:pPr>
      <w:rPr>
        <w:rFonts w:hint="default" w:ascii="Courier New" w:hAnsi="Courier New" w:cs="Courier New"/>
      </w:rPr>
      <w:start w:val="1"/>
      <w:suff w:val="tab"/>
    </w:lvl>
    <w:lvl w:ilvl="5">
      <w:isLgl w:val="false"/>
      <w:lvlJc w:val="left"/>
      <w:lvlText w:val=""/>
      <w:numFmt w:val="bullet"/>
      <w:pPr>
        <w:pBdr/>
        <w:spacing/>
        <w:ind w:hanging="360" w:left="7155"/>
      </w:pPr>
      <w:rPr>
        <w:rFonts w:hint="default" w:ascii="Wingdings" w:hAnsi="Wingdings"/>
      </w:rPr>
      <w:start w:val="1"/>
      <w:suff w:val="tab"/>
    </w:lvl>
    <w:lvl w:ilvl="6">
      <w:isLgl w:val="false"/>
      <w:lvlJc w:val="left"/>
      <w:lvlText w:val=""/>
      <w:numFmt w:val="bullet"/>
      <w:pPr>
        <w:pBdr/>
        <w:spacing/>
        <w:ind w:hanging="360" w:left="7875"/>
      </w:pPr>
      <w:rPr>
        <w:rFonts w:hint="default" w:ascii="Symbol" w:hAnsi="Symbol"/>
      </w:rPr>
      <w:start w:val="1"/>
      <w:suff w:val="tab"/>
    </w:lvl>
    <w:lvl w:ilvl="7">
      <w:isLgl w:val="false"/>
      <w:lvlJc w:val="left"/>
      <w:lvlText w:val="o"/>
      <w:numFmt w:val="bullet"/>
      <w:pPr>
        <w:pBdr/>
        <w:spacing/>
        <w:ind w:hanging="360" w:left="8595"/>
      </w:pPr>
      <w:rPr>
        <w:rFonts w:hint="default" w:ascii="Courier New" w:hAnsi="Courier New" w:cs="Courier New"/>
      </w:rPr>
      <w:start w:val="1"/>
      <w:suff w:val="tab"/>
    </w:lvl>
    <w:lvl w:ilvl="8">
      <w:isLgl w:val="false"/>
      <w:lvlJc w:val="left"/>
      <w:lvlText w:val=""/>
      <w:numFmt w:val="bullet"/>
      <w:pPr>
        <w:pBdr/>
        <w:spacing/>
        <w:ind w:hanging="360" w:left="9315"/>
      </w:pPr>
      <w:rPr>
        <w:rFonts w:hint="default" w:ascii="Wingdings" w:hAnsi="Wingdings"/>
      </w:rPr>
      <w:start w:val="1"/>
      <w:suff w:val="tab"/>
    </w:lvl>
  </w:abstractNum>
  <w:abstractNum w:abstractNumId="6">
    <w:nsid w:val="3EC1D66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2BA7E10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36A5497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3"/>
  </w:num>
  <w:num w:numId="2">
    <w:abstractNumId w:val="2"/>
  </w:num>
  <w:num w:numId="3">
    <w:abstractNumId w:val="1"/>
  </w:num>
  <w:num w:numId="4">
    <w:abstractNumId w:val="4"/>
  </w:num>
  <w:num w:numId="5">
    <w:abstractNumId w:val="4"/>
  </w:num>
  <w:num w:numId="6">
    <w:abstractNumId w:val="0"/>
  </w:num>
  <w:num w:numId="7">
    <w:abstractNumId w:val="5"/>
  </w:num>
  <w:num w:numId="8">
    <w:abstractNumId w:val="6"/>
  </w:num>
  <w:num w:numId="9">
    <w:abstractNumId w:val="7"/>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Montserrat" w:hAnsi="Montserrat" w:eastAsiaTheme="minorHAnsi" w:cstheme="minorBidi"/>
        <w:sz w:val="22"/>
        <w:szCs w:val="24"/>
        <w:lang w:val="es-AR"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152">
    <w:name w:val="Heading 3 Char"/>
    <w:basedOn w:val="799"/>
    <w:link w:val="792"/>
    <w:uiPriority w:val="9"/>
    <w:pPr>
      <w:pBdr/>
      <w:spacing/>
      <w:ind/>
    </w:pPr>
    <w:rPr>
      <w:rFonts w:ascii="Arial" w:hAnsi="Arial" w:eastAsia="Arial" w:cs="Arial"/>
      <w:color w:val="0f4761" w:themeColor="accent1" w:themeShade="BF"/>
      <w:sz w:val="28"/>
      <w:szCs w:val="28"/>
    </w:rPr>
  </w:style>
  <w:style w:type="character" w:styleId="155">
    <w:name w:val="Heading 6 Char"/>
    <w:basedOn w:val="799"/>
    <w:link w:val="795"/>
    <w:uiPriority w:val="9"/>
    <w:pPr>
      <w:pBdr/>
      <w:spacing/>
      <w:ind/>
    </w:pPr>
    <w:rPr>
      <w:rFonts w:ascii="Arial" w:hAnsi="Arial" w:eastAsia="Arial" w:cs="Arial"/>
      <w:i/>
      <w:iCs/>
      <w:color w:val="595959" w:themeColor="text1" w:themeTint="A6"/>
    </w:rPr>
  </w:style>
  <w:style w:type="character" w:styleId="156">
    <w:name w:val="Heading 7 Char"/>
    <w:basedOn w:val="799"/>
    <w:link w:val="796"/>
    <w:uiPriority w:val="9"/>
    <w:pPr>
      <w:pBdr/>
      <w:spacing/>
      <w:ind/>
    </w:pPr>
    <w:rPr>
      <w:rFonts w:ascii="Arial" w:hAnsi="Arial" w:eastAsia="Arial" w:cs="Arial"/>
      <w:color w:val="595959" w:themeColor="text1" w:themeTint="A6"/>
    </w:rPr>
  </w:style>
  <w:style w:type="character" w:styleId="157">
    <w:name w:val="Heading 8 Char"/>
    <w:basedOn w:val="799"/>
    <w:link w:val="797"/>
    <w:uiPriority w:val="9"/>
    <w:pPr>
      <w:pBdr/>
      <w:spacing/>
      <w:ind/>
    </w:pPr>
    <w:rPr>
      <w:rFonts w:ascii="Arial" w:hAnsi="Arial" w:eastAsia="Arial" w:cs="Arial"/>
      <w:i/>
      <w:iCs/>
      <w:color w:val="272727" w:themeColor="text1" w:themeTint="D8"/>
    </w:rPr>
  </w:style>
  <w:style w:type="character" w:styleId="158">
    <w:name w:val="Heading 9 Char"/>
    <w:basedOn w:val="799"/>
    <w:link w:val="798"/>
    <w:uiPriority w:val="9"/>
    <w:pPr>
      <w:pBdr/>
      <w:spacing/>
      <w:ind/>
    </w:pPr>
    <w:rPr>
      <w:rFonts w:ascii="Arial" w:hAnsi="Arial" w:eastAsia="Arial" w:cs="Arial"/>
      <w:i/>
      <w:iCs/>
      <w:color w:val="272727" w:themeColor="text1" w:themeTint="D8"/>
    </w:rPr>
  </w:style>
  <w:style w:type="character" w:styleId="169">
    <w:name w:val="Intense Reference"/>
    <w:basedOn w:val="799"/>
    <w:uiPriority w:val="32"/>
    <w:qFormat/>
    <w:pPr>
      <w:pBdr/>
      <w:spacing/>
      <w:ind/>
    </w:pPr>
    <w:rPr>
      <w:b/>
      <w:bCs/>
      <w:smallCaps/>
      <w:color w:val="0f4761" w:themeColor="accent1" w:themeShade="BF"/>
      <w:spacing w:val="5"/>
    </w:rPr>
  </w:style>
  <w:style w:type="character" w:styleId="172">
    <w:name w:val="Emphasis"/>
    <w:basedOn w:val="799"/>
    <w:uiPriority w:val="20"/>
    <w:qFormat/>
    <w:pPr>
      <w:pBdr/>
      <w:spacing/>
      <w:ind/>
    </w:pPr>
    <w:rPr>
      <w:i/>
      <w:iCs/>
    </w:rPr>
  </w:style>
  <w:style w:type="character" w:styleId="182">
    <w:name w:val="Footnote Text Char"/>
    <w:basedOn w:val="799"/>
    <w:link w:val="945"/>
    <w:uiPriority w:val="99"/>
    <w:semiHidden/>
    <w:pPr>
      <w:pBdr/>
      <w:spacing/>
      <w:ind/>
    </w:pPr>
    <w:rPr>
      <w:sz w:val="20"/>
      <w:szCs w:val="20"/>
    </w:rPr>
  </w:style>
  <w:style w:type="character" w:styleId="185">
    <w:name w:val="Endnote Text Char"/>
    <w:basedOn w:val="799"/>
    <w:link w:val="948"/>
    <w:uiPriority w:val="99"/>
    <w:semiHidden/>
    <w:pPr>
      <w:pBdr/>
      <w:spacing/>
      <w:ind/>
    </w:pPr>
    <w:rPr>
      <w:sz w:val="20"/>
      <w:szCs w:val="20"/>
    </w:rPr>
  </w:style>
  <w:style w:type="character" w:styleId="188">
    <w:name w:val="FollowedHyperlink"/>
    <w:basedOn w:val="799"/>
    <w:uiPriority w:val="99"/>
    <w:semiHidden/>
    <w:unhideWhenUsed/>
    <w:pPr>
      <w:pBdr/>
      <w:spacing/>
      <w:ind/>
    </w:pPr>
    <w:rPr>
      <w:color w:val="954f72" w:themeColor="followedHyperlink"/>
      <w:u w:val="single"/>
    </w:rPr>
  </w:style>
  <w:style w:type="character" w:styleId="198">
    <w:name w:val="Placeholder Text"/>
    <w:basedOn w:val="799"/>
    <w:uiPriority w:val="99"/>
    <w:semiHidden/>
    <w:pPr>
      <w:pBdr/>
      <w:spacing/>
      <w:ind/>
    </w:pPr>
    <w:rPr>
      <w:color w:val="666666"/>
    </w:rPr>
  </w:style>
  <w:style w:type="paragraph" w:styleId="789" w:default="1">
    <w:name w:val="Normal"/>
    <w:qFormat/>
    <w:pPr>
      <w:pBdr/>
      <w:spacing/>
      <w:ind/>
    </w:pPr>
    <w:rPr>
      <w:rFonts w:ascii="Manrope" w:hAnsi="Manrope"/>
    </w:rPr>
  </w:style>
  <w:style w:type="paragraph" w:styleId="790">
    <w:name w:val="Heading 1"/>
    <w:basedOn w:val="789"/>
    <w:next w:val="789"/>
    <w:link w:val="972"/>
    <w:uiPriority w:val="9"/>
    <w:qFormat/>
    <w:pPr>
      <w:keepNext w:val="true"/>
      <w:keepLines w:val="true"/>
      <w:pBdr/>
      <w:spacing w:after="0" w:before="480"/>
      <w:ind/>
      <w:outlineLvl w:val="0"/>
    </w:pPr>
    <w:rPr>
      <w:rFonts w:eastAsiaTheme="majorEastAsia" w:cstheme="majorBidi"/>
      <w:b/>
      <w:bCs/>
      <w:color w:val="2b3e4c"/>
      <w:sz w:val="28"/>
      <w:szCs w:val="28"/>
    </w:rPr>
  </w:style>
  <w:style w:type="paragraph" w:styleId="791">
    <w:name w:val="Heading 2"/>
    <w:basedOn w:val="789"/>
    <w:next w:val="789"/>
    <w:link w:val="975"/>
    <w:uiPriority w:val="9"/>
    <w:semiHidden/>
    <w:unhideWhenUsed/>
    <w:qFormat/>
    <w:pPr>
      <w:keepNext w:val="true"/>
      <w:keepLines w:val="true"/>
      <w:pBdr/>
      <w:spacing w:after="0" w:before="40"/>
      <w:ind/>
      <w:outlineLvl w:val="1"/>
    </w:pPr>
    <w:rPr>
      <w:rFonts w:eastAsiaTheme="majorEastAsia" w:cstheme="majorBidi"/>
      <w:color w:val="2b3e4c"/>
      <w:sz w:val="26"/>
      <w:szCs w:val="26"/>
    </w:rPr>
  </w:style>
  <w:style w:type="paragraph" w:styleId="792">
    <w:name w:val="Heading 3"/>
    <w:basedOn w:val="789"/>
    <w:next w:val="789"/>
    <w:link w:val="804"/>
    <w:uiPriority w:val="9"/>
    <w:unhideWhenUsed/>
    <w:qFormat/>
    <w:pPr>
      <w:keepNext w:val="true"/>
      <w:keepLines w:val="true"/>
      <w:pBdr/>
      <w:spacing w:before="320"/>
      <w:ind/>
      <w:outlineLvl w:val="2"/>
    </w:pPr>
    <w:rPr>
      <w:rFonts w:ascii="Arial" w:hAnsi="Arial" w:eastAsia="Arial" w:cs="Arial"/>
      <w:sz w:val="30"/>
      <w:szCs w:val="30"/>
    </w:rPr>
  </w:style>
  <w:style w:type="paragraph" w:styleId="793">
    <w:name w:val="Heading 4"/>
    <w:basedOn w:val="789"/>
    <w:next w:val="789"/>
    <w:link w:val="971"/>
    <w:uiPriority w:val="9"/>
    <w:unhideWhenUsed/>
    <w:qFormat/>
    <w:pPr>
      <w:keepNext w:val="true"/>
      <w:keepLines w:val="true"/>
      <w:pBdr/>
      <w:spacing w:after="40" w:before="240" w:line="259" w:lineRule="auto"/>
      <w:ind/>
      <w:outlineLvl w:val="3"/>
    </w:pPr>
    <w:rPr>
      <w:rFonts w:eastAsia="Calibri" w:cs="Calibri"/>
      <w:b/>
      <w:sz w:val="24"/>
      <w:lang w:val="es-ES" w:eastAsia="es-AR"/>
    </w:rPr>
  </w:style>
  <w:style w:type="paragraph" w:styleId="794">
    <w:name w:val="Heading 5"/>
    <w:basedOn w:val="789"/>
    <w:next w:val="789"/>
    <w:link w:val="976"/>
    <w:uiPriority w:val="9"/>
    <w:semiHidden/>
    <w:unhideWhenUsed/>
    <w:qFormat/>
    <w:pPr>
      <w:keepNext w:val="true"/>
      <w:keepLines w:val="true"/>
      <w:pBdr/>
      <w:spacing w:after="0" w:before="40"/>
      <w:ind/>
      <w:outlineLvl w:val="4"/>
    </w:pPr>
    <w:rPr>
      <w:rFonts w:eastAsiaTheme="majorEastAsia" w:cstheme="majorBidi"/>
      <w:color w:val="2b3e4c"/>
      <w:sz w:val="24"/>
    </w:rPr>
  </w:style>
  <w:style w:type="paragraph" w:styleId="795">
    <w:name w:val="Heading 6"/>
    <w:basedOn w:val="789"/>
    <w:next w:val="789"/>
    <w:link w:val="807"/>
    <w:uiPriority w:val="9"/>
    <w:unhideWhenUsed/>
    <w:qFormat/>
    <w:pPr>
      <w:keepNext w:val="true"/>
      <w:keepLines w:val="true"/>
      <w:pBdr/>
      <w:spacing w:before="320"/>
      <w:ind/>
      <w:outlineLvl w:val="5"/>
    </w:pPr>
    <w:rPr>
      <w:rFonts w:ascii="Arial" w:hAnsi="Arial" w:eastAsia="Arial" w:cs="Arial"/>
      <w:b/>
      <w:bCs/>
      <w:szCs w:val="22"/>
    </w:rPr>
  </w:style>
  <w:style w:type="paragraph" w:styleId="796">
    <w:name w:val="Heading 7"/>
    <w:basedOn w:val="789"/>
    <w:next w:val="789"/>
    <w:link w:val="808"/>
    <w:uiPriority w:val="9"/>
    <w:unhideWhenUsed/>
    <w:qFormat/>
    <w:pPr>
      <w:keepNext w:val="true"/>
      <w:keepLines w:val="true"/>
      <w:pBdr/>
      <w:spacing w:before="320"/>
      <w:ind/>
      <w:outlineLvl w:val="6"/>
    </w:pPr>
    <w:rPr>
      <w:rFonts w:ascii="Arial" w:hAnsi="Arial" w:eastAsia="Arial" w:cs="Arial"/>
      <w:b/>
      <w:bCs/>
      <w:i/>
      <w:iCs/>
      <w:szCs w:val="22"/>
    </w:rPr>
  </w:style>
  <w:style w:type="paragraph" w:styleId="797">
    <w:name w:val="Heading 8"/>
    <w:basedOn w:val="789"/>
    <w:next w:val="789"/>
    <w:link w:val="809"/>
    <w:uiPriority w:val="9"/>
    <w:unhideWhenUsed/>
    <w:qFormat/>
    <w:pPr>
      <w:keepNext w:val="true"/>
      <w:keepLines w:val="true"/>
      <w:pBdr/>
      <w:spacing w:before="320"/>
      <w:ind/>
      <w:outlineLvl w:val="7"/>
    </w:pPr>
    <w:rPr>
      <w:rFonts w:ascii="Arial" w:hAnsi="Arial" w:eastAsia="Arial" w:cs="Arial"/>
      <w:i/>
      <w:iCs/>
      <w:szCs w:val="22"/>
    </w:rPr>
  </w:style>
  <w:style w:type="paragraph" w:styleId="798">
    <w:name w:val="Heading 9"/>
    <w:basedOn w:val="789"/>
    <w:next w:val="789"/>
    <w:link w:val="810"/>
    <w:uiPriority w:val="9"/>
    <w:unhideWhenUsed/>
    <w:qFormat/>
    <w:pPr>
      <w:keepNext w:val="true"/>
      <w:keepLines w:val="true"/>
      <w:pBdr/>
      <w:spacing w:before="320"/>
      <w:ind/>
      <w:outlineLvl w:val="8"/>
    </w:pPr>
    <w:rPr>
      <w:rFonts w:ascii="Arial" w:hAnsi="Arial" w:eastAsia="Arial" w:cs="Arial"/>
      <w:i/>
      <w:iCs/>
      <w:sz w:val="21"/>
      <w:szCs w:val="21"/>
    </w:rPr>
  </w:style>
  <w:style w:type="character" w:styleId="799" w:default="1">
    <w:name w:val="Default Paragraph Font"/>
    <w:uiPriority w:val="1"/>
    <w:semiHidden/>
    <w:unhideWhenUsed/>
    <w:pPr>
      <w:pBdr/>
      <w:spacing/>
      <w:ind/>
    </w:pPr>
  </w:style>
  <w:style w:type="table" w:styleId="800"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01" w:default="1">
    <w:name w:val="No List"/>
    <w:uiPriority w:val="99"/>
    <w:semiHidden/>
    <w:unhideWhenUsed/>
    <w:pPr>
      <w:pBdr/>
      <w:spacing/>
      <w:ind/>
    </w:pPr>
  </w:style>
  <w:style w:type="character" w:styleId="802" w:customStyle="1">
    <w:name w:val="Heading 1 Char"/>
    <w:basedOn w:val="799"/>
    <w:uiPriority w:val="9"/>
    <w:pPr>
      <w:pBdr/>
      <w:spacing/>
      <w:ind/>
    </w:pPr>
    <w:rPr>
      <w:rFonts w:ascii="Arial" w:hAnsi="Arial" w:eastAsia="Arial" w:cs="Arial"/>
      <w:sz w:val="40"/>
      <w:szCs w:val="40"/>
    </w:rPr>
  </w:style>
  <w:style w:type="character" w:styleId="803" w:customStyle="1">
    <w:name w:val="Heading 2 Char"/>
    <w:basedOn w:val="799"/>
    <w:uiPriority w:val="9"/>
    <w:pPr>
      <w:pBdr/>
      <w:spacing/>
      <w:ind/>
    </w:pPr>
    <w:rPr>
      <w:rFonts w:ascii="Arial" w:hAnsi="Arial" w:eastAsia="Arial" w:cs="Arial"/>
      <w:sz w:val="34"/>
    </w:rPr>
  </w:style>
  <w:style w:type="character" w:styleId="804" w:customStyle="1">
    <w:name w:val="Título 3 Car"/>
    <w:basedOn w:val="799"/>
    <w:link w:val="792"/>
    <w:uiPriority w:val="9"/>
    <w:pPr>
      <w:pBdr/>
      <w:spacing/>
      <w:ind/>
    </w:pPr>
    <w:rPr>
      <w:rFonts w:ascii="Arial" w:hAnsi="Arial" w:eastAsia="Arial" w:cs="Arial"/>
      <w:sz w:val="30"/>
      <w:szCs w:val="30"/>
    </w:rPr>
  </w:style>
  <w:style w:type="character" w:styleId="805" w:customStyle="1">
    <w:name w:val="Heading 4 Char"/>
    <w:basedOn w:val="799"/>
    <w:uiPriority w:val="9"/>
    <w:pPr>
      <w:pBdr/>
      <w:spacing/>
      <w:ind/>
    </w:pPr>
    <w:rPr>
      <w:rFonts w:ascii="Arial" w:hAnsi="Arial" w:eastAsia="Arial" w:cs="Arial"/>
      <w:b/>
      <w:bCs/>
      <w:sz w:val="26"/>
      <w:szCs w:val="26"/>
    </w:rPr>
  </w:style>
  <w:style w:type="character" w:styleId="806" w:customStyle="1">
    <w:name w:val="Heading 5 Char"/>
    <w:basedOn w:val="799"/>
    <w:uiPriority w:val="9"/>
    <w:pPr>
      <w:pBdr/>
      <w:spacing/>
      <w:ind/>
    </w:pPr>
    <w:rPr>
      <w:rFonts w:ascii="Arial" w:hAnsi="Arial" w:eastAsia="Arial" w:cs="Arial"/>
      <w:b/>
      <w:bCs/>
      <w:sz w:val="24"/>
      <w:szCs w:val="24"/>
    </w:rPr>
  </w:style>
  <w:style w:type="character" w:styleId="807" w:customStyle="1">
    <w:name w:val="Título 6 Car"/>
    <w:basedOn w:val="799"/>
    <w:link w:val="795"/>
    <w:uiPriority w:val="9"/>
    <w:pPr>
      <w:pBdr/>
      <w:spacing/>
      <w:ind/>
    </w:pPr>
    <w:rPr>
      <w:rFonts w:ascii="Arial" w:hAnsi="Arial" w:eastAsia="Arial" w:cs="Arial"/>
      <w:b/>
      <w:bCs/>
      <w:sz w:val="22"/>
      <w:szCs w:val="22"/>
    </w:rPr>
  </w:style>
  <w:style w:type="character" w:styleId="808" w:customStyle="1">
    <w:name w:val="Título 7 Car"/>
    <w:basedOn w:val="799"/>
    <w:link w:val="796"/>
    <w:uiPriority w:val="9"/>
    <w:pPr>
      <w:pBdr/>
      <w:spacing/>
      <w:ind/>
    </w:pPr>
    <w:rPr>
      <w:rFonts w:ascii="Arial" w:hAnsi="Arial" w:eastAsia="Arial" w:cs="Arial"/>
      <w:b/>
      <w:bCs/>
      <w:i/>
      <w:iCs/>
      <w:sz w:val="22"/>
      <w:szCs w:val="22"/>
    </w:rPr>
  </w:style>
  <w:style w:type="character" w:styleId="809" w:customStyle="1">
    <w:name w:val="Título 8 Car"/>
    <w:basedOn w:val="799"/>
    <w:link w:val="797"/>
    <w:uiPriority w:val="9"/>
    <w:pPr>
      <w:pBdr/>
      <w:spacing/>
      <w:ind/>
    </w:pPr>
    <w:rPr>
      <w:rFonts w:ascii="Arial" w:hAnsi="Arial" w:eastAsia="Arial" w:cs="Arial"/>
      <w:i/>
      <w:iCs/>
      <w:sz w:val="22"/>
      <w:szCs w:val="22"/>
    </w:rPr>
  </w:style>
  <w:style w:type="character" w:styleId="810" w:customStyle="1">
    <w:name w:val="Título 9 Car"/>
    <w:basedOn w:val="799"/>
    <w:link w:val="798"/>
    <w:uiPriority w:val="9"/>
    <w:pPr>
      <w:pBdr/>
      <w:spacing/>
      <w:ind/>
    </w:pPr>
    <w:rPr>
      <w:rFonts w:ascii="Arial" w:hAnsi="Arial" w:eastAsia="Arial" w:cs="Arial"/>
      <w:i/>
      <w:iCs/>
      <w:sz w:val="21"/>
      <w:szCs w:val="21"/>
    </w:rPr>
  </w:style>
  <w:style w:type="character" w:styleId="811" w:customStyle="1">
    <w:name w:val="Title Char"/>
    <w:basedOn w:val="799"/>
    <w:uiPriority w:val="10"/>
    <w:pPr>
      <w:pBdr/>
      <w:spacing/>
      <w:ind/>
    </w:pPr>
    <w:rPr>
      <w:sz w:val="48"/>
      <w:szCs w:val="48"/>
    </w:rPr>
  </w:style>
  <w:style w:type="character" w:styleId="812" w:customStyle="1">
    <w:name w:val="Subtitle Char"/>
    <w:basedOn w:val="799"/>
    <w:uiPriority w:val="11"/>
    <w:pPr>
      <w:pBdr/>
      <w:spacing/>
      <w:ind/>
    </w:pPr>
    <w:rPr>
      <w:sz w:val="24"/>
      <w:szCs w:val="24"/>
    </w:rPr>
  </w:style>
  <w:style w:type="character" w:styleId="813" w:customStyle="1">
    <w:name w:val="Quote Char"/>
    <w:uiPriority w:val="29"/>
    <w:pPr>
      <w:pBdr/>
      <w:spacing/>
      <w:ind/>
    </w:pPr>
    <w:rPr>
      <w:i/>
    </w:rPr>
  </w:style>
  <w:style w:type="character" w:styleId="814" w:customStyle="1">
    <w:name w:val="Intense Quote Char"/>
    <w:uiPriority w:val="30"/>
    <w:pPr>
      <w:pBdr/>
      <w:spacing/>
      <w:ind/>
    </w:pPr>
    <w:rPr>
      <w:i/>
    </w:rPr>
  </w:style>
  <w:style w:type="character" w:styleId="815" w:customStyle="1">
    <w:name w:val="Header Char"/>
    <w:basedOn w:val="799"/>
    <w:uiPriority w:val="99"/>
    <w:pPr>
      <w:pBdr/>
      <w:spacing/>
      <w:ind/>
    </w:pPr>
  </w:style>
  <w:style w:type="character" w:styleId="816" w:customStyle="1">
    <w:name w:val="Footer Char"/>
    <w:basedOn w:val="799"/>
    <w:uiPriority w:val="99"/>
    <w:pPr>
      <w:pBdr/>
      <w:spacing/>
      <w:ind/>
    </w:pPr>
  </w:style>
  <w:style w:type="paragraph" w:styleId="817">
    <w:name w:val="Caption"/>
    <w:basedOn w:val="789"/>
    <w:next w:val="789"/>
    <w:uiPriority w:val="35"/>
    <w:semiHidden/>
    <w:unhideWhenUsed/>
    <w:qFormat/>
    <w:pPr>
      <w:pBdr/>
      <w:spacing/>
      <w:ind/>
    </w:pPr>
    <w:rPr>
      <w:b/>
      <w:bCs/>
      <w:color w:val="4f81bd" w:themeColor="accent1"/>
      <w:sz w:val="18"/>
      <w:szCs w:val="18"/>
    </w:rPr>
  </w:style>
  <w:style w:type="character" w:styleId="818" w:customStyle="1">
    <w:name w:val="Caption Char"/>
    <w:uiPriority w:val="99"/>
    <w:pPr>
      <w:pBdr/>
      <w:spacing/>
      <w:ind/>
    </w:pPr>
  </w:style>
  <w:style w:type="table" w:styleId="819">
    <w:name w:val="Table Grid"/>
    <w:basedOn w:val="800"/>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customStyle="1">
    <w:name w:val="Table Grid Light"/>
    <w:basedOn w:val="800"/>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Plain Table 1"/>
    <w:basedOn w:val="800"/>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Plain Table 2"/>
    <w:basedOn w:val="800"/>
    <w:uiPriority w:val="59"/>
    <w:pPr>
      <w:pBdr/>
      <w:spacing w:after="0" w:line="240" w:lineRule="auto"/>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Plain Table 3"/>
    <w:basedOn w:val="800"/>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Plain Table 4"/>
    <w:basedOn w:val="800"/>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Plain Table 5"/>
    <w:basedOn w:val="800"/>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1 Light"/>
    <w:basedOn w:val="800"/>
    <w:uiPriority w:val="99"/>
    <w:pPr>
      <w:pBdr/>
      <w:spacing w:after="0" w:line="240" w:lineRule="auto"/>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customStyle="1">
    <w:name w:val="Grid Table 1 Light - Accent 1"/>
    <w:basedOn w:val="800"/>
    <w:uiPriority w:val="99"/>
    <w:pPr>
      <w:pBdr/>
      <w:spacing w:after="0" w:line="240" w:lineRule="auto"/>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7b4d8"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customStyle="1">
    <w:name w:val="Grid Table 1 Light - Accent 2"/>
    <w:basedOn w:val="800"/>
    <w:uiPriority w:val="99"/>
    <w:pPr>
      <w:pBdr/>
      <w:spacing w:after="0" w:line="240" w:lineRule="auto"/>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a989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customStyle="1">
    <w:name w:val="Grid Table 1 Light - Accent 3"/>
    <w:basedOn w:val="800"/>
    <w:uiPriority w:val="99"/>
    <w:pPr>
      <w:pBdr/>
      <w:spacing w:after="0" w:line="240" w:lineRule="auto"/>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4d79d"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customStyle="1">
    <w:name w:val="Grid Table 1 Light - Accent 4"/>
    <w:basedOn w:val="800"/>
    <w:uiPriority w:val="99"/>
    <w:pPr>
      <w:pBdr/>
      <w:spacing w:after="0" w:line="240" w:lineRule="auto"/>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b4a4c8"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customStyle="1">
    <w:name w:val="Grid Table 1 Light - Accent 5"/>
    <w:basedOn w:val="800"/>
    <w:uiPriority w:val="99"/>
    <w:pPr>
      <w:pBdr/>
      <w:spacing w:after="0" w:line="240" w:lineRule="auto"/>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5ced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customStyle="1">
    <w:name w:val="Grid Table 1 Light - Accent 6"/>
    <w:basedOn w:val="800"/>
    <w:uiPriority w:val="99"/>
    <w:pPr>
      <w:pBdr/>
      <w:spacing w:after="0" w:line="240" w:lineRule="auto"/>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ac192"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2"/>
    <w:basedOn w:val="800"/>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customStyle="1">
    <w:name w:val="Grid Table 2 - Accent 1"/>
    <w:basedOn w:val="800"/>
    <w:uiPriority w:val="99"/>
    <w:pPr>
      <w:pBdr/>
      <w:spacing w:after="0" w:line="240" w:lineRule="auto"/>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d8ac2"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d8ac2"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customStyle="1">
    <w:name w:val="Grid Table 2 - Accent 2"/>
    <w:basedOn w:val="800"/>
    <w:uiPriority w:val="99"/>
    <w:pPr>
      <w:pBdr/>
      <w:spacing w:after="0" w:line="240" w:lineRule="auto"/>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d9969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customStyle="1">
    <w:name w:val="Grid Table 2 - Accent 3"/>
    <w:basedOn w:val="800"/>
    <w:uiPriority w:val="99"/>
    <w:pPr>
      <w:pBdr/>
      <w:spacing w:after="0" w:line="240" w:lineRule="auto"/>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9abb59"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customStyle="1">
    <w:name w:val="Grid Table 2 - Accent 4"/>
    <w:basedOn w:val="800"/>
    <w:uiPriority w:val="99"/>
    <w:pPr>
      <w:pBdr/>
      <w:spacing w:after="0" w:line="240" w:lineRule="auto"/>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b2a1c6"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customStyle="1">
    <w:name w:val="Grid Table 2 - Accent 5"/>
    <w:basedOn w:val="800"/>
    <w:uiPriority w:val="99"/>
    <w:pPr>
      <w:pBdr/>
      <w:spacing w:after="0" w:line="240" w:lineRule="auto"/>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bacc6"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customStyle="1">
    <w:name w:val="Grid Table 2 - Accent 6"/>
    <w:basedOn w:val="800"/>
    <w:uiPriority w:val="99"/>
    <w:pPr>
      <w:pBdr/>
      <w:spacing w:after="0" w:line="240" w:lineRule="auto"/>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79646"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3"/>
    <w:basedOn w:val="800"/>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customStyle="1">
    <w:name w:val="Grid Table 3 - Accent 1"/>
    <w:basedOn w:val="800"/>
    <w:uiPriority w:val="99"/>
    <w:pPr>
      <w:pBdr/>
      <w:spacing w:after="0" w:line="240" w:lineRule="auto"/>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customStyle="1">
    <w:name w:val="Grid Table 3 - Accent 2"/>
    <w:basedOn w:val="800"/>
    <w:uiPriority w:val="99"/>
    <w:pPr>
      <w:pBdr/>
      <w:spacing w:after="0" w:line="240" w:lineRule="auto"/>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customStyle="1">
    <w:name w:val="Grid Table 3 - Accent 3"/>
    <w:basedOn w:val="800"/>
    <w:uiPriority w:val="99"/>
    <w:pPr>
      <w:pBdr/>
      <w:spacing w:after="0" w:line="240" w:lineRule="auto"/>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customStyle="1">
    <w:name w:val="Grid Table 3 - Accent 4"/>
    <w:basedOn w:val="800"/>
    <w:uiPriority w:val="99"/>
    <w:pPr>
      <w:pBdr/>
      <w:spacing w:after="0" w:line="240" w:lineRule="auto"/>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customStyle="1">
    <w:name w:val="Grid Table 3 - Accent 5"/>
    <w:basedOn w:val="800"/>
    <w:uiPriority w:val="99"/>
    <w:pPr>
      <w:pBdr/>
      <w:spacing w:after="0" w:line="240" w:lineRule="auto"/>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customStyle="1">
    <w:name w:val="Grid Table 3 - Accent 6"/>
    <w:basedOn w:val="800"/>
    <w:uiPriority w:val="99"/>
    <w:pPr>
      <w:pBdr/>
      <w:spacing w:after="0" w:line="240" w:lineRule="auto"/>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4"/>
    <w:basedOn w:val="800"/>
    <w:uiPriority w:val="59"/>
    <w:pPr>
      <w:pBdr/>
      <w:spacing w:after="0" w:line="240" w:lineRule="auto"/>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customStyle="1">
    <w:name w:val="Grid Table 4 - Accent 1"/>
    <w:basedOn w:val="800"/>
    <w:uiPriority w:val="59"/>
    <w:pPr>
      <w:pBdr/>
      <w:spacing w:after="0" w:line="240" w:lineRule="auto"/>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d8ac2" w:themeColor="accent1" w:themeTint="EA" w:fill="5d8ac2" w:themeFill="accent1" w:themeFillTint="EA"/>
        <w:tcBorders>
          <w:top w:val="single" w:color="5d8ac2" w:themeColor="accent1" w:themeTint="EA" w:sz="4" w:space="0"/>
          <w:left w:val="single" w:color="5d8ac2" w:themeColor="accent1" w:themeTint="EA" w:sz="4" w:space="0"/>
          <w:bottom w:val="single" w:color="5d8ac2" w:themeColor="accent1" w:themeTint="EA" w:sz="4" w:space="0"/>
          <w:right w:val="single" w:color="5d8ac2"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d8ac2"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customStyle="1">
    <w:name w:val="Grid Table 4 - Accent 2"/>
    <w:basedOn w:val="800"/>
    <w:uiPriority w:val="59"/>
    <w:pPr>
      <w:pBdr/>
      <w:spacing w:after="0" w:line="240" w:lineRule="auto"/>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insideV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customStyle="1">
    <w:name w:val="Grid Table 4 - Accent 3"/>
    <w:basedOn w:val="800"/>
    <w:uiPriority w:val="59"/>
    <w:pPr>
      <w:pBdr/>
      <w:spacing w:after="0" w:line="240" w:lineRule="auto"/>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abb59" w:themeColor="accent3" w:themeTint="FE" w:fill="9abb59" w:themeFill="accent3" w:themeFillTint="FE"/>
        <w:tc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abb59"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customStyle="1">
    <w:name w:val="Grid Table 4 - Accent 4"/>
    <w:basedOn w:val="800"/>
    <w:uiPriority w:val="59"/>
    <w:pPr>
      <w:pBdr/>
      <w:spacing w:after="0" w:line="240" w:lineRule="auto"/>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customStyle="1">
    <w:name w:val="Grid Table 4 - Accent 5"/>
    <w:basedOn w:val="800"/>
    <w:uiPriority w:val="59"/>
    <w:pPr>
      <w:pBdr/>
      <w:spacing w:after="0" w:line="240" w:lineRule="auto"/>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op w:val="single" w:color="4bacc6" w:themeColor="accent5" w:sz="4" w:space="0"/>
          <w:left w:val="single" w:color="4bacc6" w:themeColor="accent5" w:sz="4" w:space="0"/>
          <w:bottom w:val="single" w:color="4bacc6" w:themeColor="accent5" w:sz="4" w:space="0"/>
          <w:right w:val="single" w:color="4bacc6"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customStyle="1">
    <w:name w:val="Grid Table 4 - Accent 6"/>
    <w:basedOn w:val="800"/>
    <w:uiPriority w:val="59"/>
    <w:pPr>
      <w:pBdr/>
      <w:spacing w:after="0" w:line="240" w:lineRule="auto"/>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op w:val="single" w:color="f79646" w:themeColor="accent6" w:sz="4" w:space="0"/>
          <w:left w:val="single" w:color="f79646" w:themeColor="accent6" w:sz="4" w:space="0"/>
          <w:bottom w:val="single" w:color="f79646" w:themeColor="accent6" w:sz="4" w:space="0"/>
          <w:right w:val="single" w:color="f79646"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Grid Table 5 Dark"/>
    <w:basedOn w:val="800"/>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customStyle="1">
    <w:name w:val="Grid Table 5 Dark- Accent 1"/>
    <w:basedOn w:val="800"/>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5f1" w:themeColor="accent1" w:themeTint="34" w:fill="dae5f1" w:themeFill="accent1" w:themeFillTint="34"/>
    </w:tblPr>
    <w:tcPr>
      <w:tcBorders/>
    </w:tcPr>
    <w:tblStylePr w:type="band1Horz">
      <w:pPr>
        <w:pBdr/>
        <w:spacing/>
        <w:ind/>
      </w:pPr>
      <w:tblPr>
        <w:tblBorders/>
      </w:tblPr>
      <w:tcPr>
        <w:shd w:val="clear" w:color="aec4e0" w:themeColor="accent1" w:themeTint="75" w:fill="aec4e0" w:themeFill="accent1" w:themeFillTint="75"/>
        <w:tcBorders/>
      </w:tcPr>
    </w:tblStylePr>
    <w:tblStylePr w:type="band1Vert">
      <w:pPr>
        <w:pBdr/>
        <w:spacing/>
        <w:ind/>
      </w:pPr>
      <w:tblPr>
        <w:tblBorders/>
      </w:tblPr>
      <w:tcPr>
        <w:shd w:val="clear" w:color="aec4e0" w:themeColor="accent1" w:themeTint="75" w:fill="aec4e0"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f81bd" w:themeColor="accent1" w:fill="4f81bd" w:themeFill="accent1"/>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rFonts w:ascii="Arial" w:hAnsi="Arial"/>
        <w:b/>
        <w:color w:val="ffffff"/>
        <w:sz w:val="22"/>
      </w:rPr>
      <w:pPr>
        <w:pBdr/>
        <w:spacing/>
        <w:ind/>
      </w:pPr>
      <w:tblPr>
        <w:tblBorders/>
      </w:tblPr>
      <w:tcPr>
        <w:shd w:val="clear" w:color="4f81bd" w:themeColor="accent1" w:fill="4f81bd" w:themeFill="accent1"/>
        <w:tcBorders/>
      </w:tcPr>
    </w:tblStylePr>
    <w:tblStylePr w:type="lastRow">
      <w:rPr>
        <w:rFonts w:ascii="Arial" w:hAnsi="Arial"/>
        <w:b/>
        <w:color w:val="ffffff"/>
        <w:sz w:val="22"/>
      </w:rPr>
      <w:pPr>
        <w:pBdr/>
        <w:spacing/>
        <w:ind/>
      </w:pPr>
      <w:tblPr>
        <w:tblBorders/>
      </w:tblPr>
      <w:tcPr>
        <w:shd w:val="clear" w:color="4f81bd" w:themeColor="accent1" w:fill="4f81bd"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customStyle="1">
    <w:name w:val="Grid Table 5 Dark - Accent 2"/>
    <w:basedOn w:val="800"/>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2dcdc" w:themeColor="accent2" w:themeTint="32" w:fill="f2dcdc" w:themeFill="accent2" w:themeFillTint="32"/>
    </w:tblPr>
    <w:tcPr>
      <w:tcBorders/>
    </w:tcPr>
    <w:tblStylePr w:type="band1Horz">
      <w:pPr>
        <w:pBdr/>
        <w:spacing/>
        <w:ind/>
      </w:pPr>
      <w:tblPr>
        <w:tblBorders/>
      </w:tblPr>
      <w:tcPr>
        <w:shd w:val="clear" w:color="e2aead" w:themeColor="accent2" w:themeTint="75" w:fill="e2aead" w:themeFill="accent2" w:themeFillTint="75"/>
        <w:tcBorders/>
      </w:tcPr>
    </w:tblStylePr>
    <w:tblStylePr w:type="band1Vert">
      <w:pPr>
        <w:pBdr/>
        <w:spacing/>
        <w:ind/>
      </w:pPr>
      <w:tblPr>
        <w:tblBorders/>
      </w:tblPr>
      <w:tcPr>
        <w:shd w:val="clear" w:color="e2aead" w:themeColor="accent2" w:themeTint="75" w:fill="e2ae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c0504d" w:themeColor="accent2" w:fill="c0504d" w:themeFill="accent2"/>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rFonts w:ascii="Arial" w:hAnsi="Arial"/>
        <w:b/>
        <w:color w:val="ffffff"/>
        <w:sz w:val="22"/>
      </w:rPr>
      <w:pPr>
        <w:pBdr/>
        <w:spacing/>
        <w:ind/>
      </w:pPr>
      <w:tblPr>
        <w:tblBorders/>
      </w:tblPr>
      <w:tcPr>
        <w:shd w:val="clear" w:color="c0504d" w:themeColor="accent2" w:fill="c0504d" w:themeFill="accent2"/>
        <w:tcBorders/>
      </w:tcPr>
    </w:tblStylePr>
    <w:tblStylePr w:type="lastRow">
      <w:rPr>
        <w:rFonts w:ascii="Arial" w:hAnsi="Arial"/>
        <w:b/>
        <w:color w:val="ffffff"/>
        <w:sz w:val="22"/>
      </w:rPr>
      <w:pPr>
        <w:pBdr/>
        <w:spacing/>
        <w:ind/>
      </w:pPr>
      <w:tblPr>
        <w:tblBorders/>
      </w:tblPr>
      <w:tcPr>
        <w:shd w:val="clear" w:color="c0504d" w:themeColor="accent2" w:fill="c0504d"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customStyle="1">
    <w:name w:val="Grid Table 5 Dark - Accent 3"/>
    <w:basedOn w:val="800"/>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af1dc" w:themeColor="accent3" w:themeTint="34" w:fill="eaf1dc" w:themeFill="accent3" w:themeFillTint="34"/>
    </w:tblPr>
    <w:tcPr>
      <w:tcBorders/>
    </w:tcPr>
    <w:tblStylePr w:type="band1Horz">
      <w:pPr>
        <w:pBdr/>
        <w:spacing/>
        <w:ind/>
      </w:pPr>
      <w:tblPr>
        <w:tblBorders/>
      </w:tblPr>
      <w:tcPr>
        <w:shd w:val="clear" w:color="d0dfb2" w:themeColor="accent3" w:themeTint="75" w:fill="d0dfb2" w:themeFill="accent3" w:themeFillTint="75"/>
        <w:tcBorders/>
      </w:tcPr>
    </w:tblStylePr>
    <w:tblStylePr w:type="band1Vert">
      <w:pPr>
        <w:pBdr/>
        <w:spacing/>
        <w:ind/>
      </w:pPr>
      <w:tblPr>
        <w:tblBorders/>
      </w:tblPr>
      <w:tcPr>
        <w:shd w:val="clear" w:color="d0dfb2" w:themeColor="accent3" w:themeTint="75" w:fill="d0dfb2"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9bbb59" w:themeColor="accent3" w:fill="9bbb59" w:themeFill="accent3"/>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rFonts w:ascii="Arial" w:hAnsi="Arial"/>
        <w:b/>
        <w:color w:val="ffffff"/>
        <w:sz w:val="22"/>
      </w:rPr>
      <w:pPr>
        <w:pBdr/>
        <w:spacing/>
        <w:ind/>
      </w:pPr>
      <w:tblPr>
        <w:tblBorders/>
      </w:tblPr>
      <w:tcPr>
        <w:shd w:val="clear" w:color="9bbb59" w:themeColor="accent3" w:fill="9bbb59" w:themeFill="accent3"/>
        <w:tcBorders/>
      </w:tcPr>
    </w:tblStylePr>
    <w:tblStylePr w:type="lastRow">
      <w:rPr>
        <w:rFonts w:ascii="Arial" w:hAnsi="Arial"/>
        <w:b/>
        <w:color w:val="ffffff"/>
        <w:sz w:val="22"/>
      </w:rPr>
      <w:pPr>
        <w:pBdr/>
        <w:spacing/>
        <w:ind/>
      </w:pPr>
      <w:tblPr>
        <w:tblBorders/>
      </w:tblPr>
      <w:tcPr>
        <w:shd w:val="clear" w:color="9bbb59" w:themeColor="accent3" w:fill="9bbb59"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customStyle="1">
    <w:name w:val="Grid Table 5 Dark- Accent 4"/>
    <w:basedOn w:val="800"/>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5dfec" w:themeColor="accent4" w:themeTint="34" w:fill="e5dfec" w:themeFill="accent4" w:themeFillTint="34"/>
    </w:tblPr>
    <w:tcPr>
      <w:tcBorders/>
    </w:tcPr>
    <w:tblStylePr w:type="band1Horz">
      <w:pPr>
        <w:pBdr/>
        <w:spacing/>
        <w:ind/>
      </w:pPr>
      <w:tblPr>
        <w:tblBorders/>
      </w:tblPr>
      <w:tcPr>
        <w:shd w:val="clear" w:color="c4b7d4" w:themeColor="accent4" w:themeTint="75" w:fill="c4b7d4" w:themeFill="accent4" w:themeFillTint="75"/>
        <w:tcBorders/>
      </w:tcPr>
    </w:tblStylePr>
    <w:tblStylePr w:type="band1Vert">
      <w:pPr>
        <w:pBdr/>
        <w:spacing/>
        <w:ind/>
      </w:pPr>
      <w:tblPr>
        <w:tblBorders/>
      </w:tblPr>
      <w:tcPr>
        <w:shd w:val="clear" w:color="c4b7d4" w:themeColor="accent4" w:themeTint="75" w:fill="c4b7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8064a2" w:themeColor="accent4" w:fill="8064a2" w:themeFill="accent4"/>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rFonts w:ascii="Arial" w:hAnsi="Arial"/>
        <w:b/>
        <w:color w:val="ffffff"/>
        <w:sz w:val="22"/>
      </w:rPr>
      <w:pPr>
        <w:pBdr/>
        <w:spacing/>
        <w:ind/>
      </w:pPr>
      <w:tblPr>
        <w:tblBorders/>
      </w:tblPr>
      <w:tcPr>
        <w:shd w:val="clear" w:color="8064a2" w:themeColor="accent4" w:fill="8064a2" w:themeFill="accent4"/>
        <w:tcBorders/>
      </w:tcPr>
    </w:tblStylePr>
    <w:tblStylePr w:type="lastRow">
      <w:rPr>
        <w:rFonts w:ascii="Arial" w:hAnsi="Arial"/>
        <w:b/>
        <w:color w:val="ffffff"/>
        <w:sz w:val="22"/>
      </w:rPr>
      <w:pPr>
        <w:pBdr/>
        <w:spacing/>
        <w:ind/>
      </w:pPr>
      <w:tblPr>
        <w:tblBorders/>
      </w:tblPr>
      <w:tcPr>
        <w:shd w:val="clear" w:color="8064a2" w:themeColor="accent4" w:fill="8064a2"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customStyle="1">
    <w:name w:val="Grid Table 5 Dark - Accent 5"/>
    <w:basedOn w:val="800"/>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ef3" w:themeColor="accent5" w:themeTint="34" w:fill="daeef3" w:themeFill="accent5" w:themeFillTint="34"/>
    </w:tblPr>
    <w:tcPr>
      <w:tcBorders/>
    </w:tcPr>
    <w:tblStylePr w:type="band1Horz">
      <w:pPr>
        <w:pBdr/>
        <w:spacing/>
        <w:ind/>
      </w:pPr>
      <w:tblPr>
        <w:tblBorders/>
      </w:tblPr>
      <w:tcPr>
        <w:shd w:val="clear" w:color="acd8e4" w:themeColor="accent5" w:themeTint="75" w:fill="acd8e4" w:themeFill="accent5" w:themeFillTint="75"/>
        <w:tcBorders/>
      </w:tcPr>
    </w:tblStylePr>
    <w:tblStylePr w:type="band1Vert">
      <w:pPr>
        <w:pBdr/>
        <w:spacing/>
        <w:ind/>
      </w:pPr>
      <w:tblPr>
        <w:tblBorders/>
      </w:tblPr>
      <w:tcPr>
        <w:shd w:val="clear" w:color="acd8e4" w:themeColor="accent5" w:themeTint="75" w:fill="acd8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bacc6" w:themeColor="accent5" w:fill="4bacc6" w:themeFill="accent5"/>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rFonts w:ascii="Arial" w:hAnsi="Arial"/>
        <w:b/>
        <w:color w:val="ffffff"/>
        <w:sz w:val="22"/>
      </w:rPr>
      <w:pPr>
        <w:pBdr/>
        <w:spacing/>
        <w:ind/>
      </w:pPr>
      <w:tblPr>
        <w:tblBorders/>
      </w:tblPr>
      <w:tcPr>
        <w:shd w:val="clear" w:color="4bacc6" w:themeColor="accent5" w:fill="4bacc6" w:themeFill="accent5"/>
        <w:tcBorders/>
      </w:tcPr>
    </w:tblStylePr>
    <w:tblStylePr w:type="lastRow">
      <w:rPr>
        <w:rFonts w:ascii="Arial" w:hAnsi="Arial"/>
        <w:b/>
        <w:color w:val="ffffff"/>
        <w:sz w:val="22"/>
      </w:rPr>
      <w:pPr>
        <w:pBdr/>
        <w:spacing/>
        <w:ind/>
      </w:pPr>
      <w:tblPr>
        <w:tblBorders/>
      </w:tblPr>
      <w:tcPr>
        <w:shd w:val="clear" w:color="4bacc6" w:themeColor="accent5" w:fill="4bacc6"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customStyle="1">
    <w:name w:val="Grid Table 5 Dark - Accent 6"/>
    <w:basedOn w:val="800"/>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de9d8" w:themeColor="accent6" w:themeTint="34" w:fill="fde9d8" w:themeFill="accent6" w:themeFillTint="34"/>
    </w:tblPr>
    <w:tcPr>
      <w:tcBorders/>
    </w:tcPr>
    <w:tblStylePr w:type="band1Horz">
      <w:pPr>
        <w:pBdr/>
        <w:spacing/>
        <w:ind/>
      </w:pPr>
      <w:tblPr>
        <w:tblBorders/>
      </w:tblPr>
      <w:tcPr>
        <w:shd w:val="clear" w:color="fbceaa" w:themeColor="accent6" w:themeTint="75" w:fill="fbceaa" w:themeFill="accent6" w:themeFillTint="75"/>
        <w:tcBorders/>
      </w:tcPr>
    </w:tblStylePr>
    <w:tblStylePr w:type="band1Vert">
      <w:pPr>
        <w:pBdr/>
        <w:spacing/>
        <w:ind/>
      </w:pPr>
      <w:tblPr>
        <w:tblBorders/>
      </w:tblPr>
      <w:tcPr>
        <w:shd w:val="clear" w:color="fbceaa" w:themeColor="accent6" w:themeTint="75" w:fill="fbce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79646" w:themeColor="accent6" w:fill="f79646" w:themeFill="accent6"/>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rFonts w:ascii="Arial" w:hAnsi="Arial"/>
        <w:b/>
        <w:color w:val="ffffff"/>
        <w:sz w:val="22"/>
      </w:rPr>
      <w:pPr>
        <w:pBdr/>
        <w:spacing/>
        <w:ind/>
      </w:pPr>
      <w:tblPr>
        <w:tblBorders/>
      </w:tblPr>
      <w:tcPr>
        <w:shd w:val="clear" w:color="f79646" w:themeColor="accent6" w:fill="f79646" w:themeFill="accent6"/>
        <w:tcBorders/>
      </w:tcPr>
    </w:tblStylePr>
    <w:tblStylePr w:type="lastRow">
      <w:rPr>
        <w:rFonts w:ascii="Arial" w:hAnsi="Arial"/>
        <w:b/>
        <w:color w:val="ffffff"/>
        <w:sz w:val="22"/>
      </w:rPr>
      <w:pPr>
        <w:pBdr/>
        <w:spacing/>
        <w:ind/>
      </w:pPr>
      <w:tblPr>
        <w:tblBorders/>
      </w:tblPr>
      <w:tcPr>
        <w:shd w:val="clear" w:color="f79646" w:themeColor="accent6" w:fill="f79646"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Grid Table 6 Colorful"/>
    <w:basedOn w:val="800"/>
    <w:uiPriority w:val="99"/>
    <w:pPr>
      <w:pBdr/>
      <w:spacing w:after="0" w:line="240" w:lineRule="auto"/>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customStyle="1">
    <w:name w:val="Grid Table 6 Colorful - Accent 1"/>
    <w:basedOn w:val="800"/>
    <w:uiPriority w:val="99"/>
    <w:pPr>
      <w:pBdr/>
      <w:spacing w:after="0" w:line="240" w:lineRule="auto"/>
      <w:ind/>
    </w:pPr>
    <w:tblPr>
      <w:tblStyleRowBandSize w:val="1"/>
      <w:tblStyleColBandSize w:val="1"/>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6bfdd" w:themeColor="accent1" w:themeTint="80" w:themeShade="95"/>
      </w:rPr>
      <w:pPr>
        <w:pBdr/>
        <w:spacing/>
        <w:ind/>
      </w:pPr>
      <w:tblPr>
        <w:tblBorders/>
      </w:tblPr>
      <w:tcPr>
        <w:tcBorders/>
      </w:tcPr>
    </w:tblStylePr>
    <w:tblStylePr w:type="firstRow">
      <w:rPr>
        <w:b/>
        <w:color w:val="a6bfdd" w:themeColor="accent1" w:themeTint="80" w:themeShade="95"/>
      </w:rPr>
      <w:pPr>
        <w:pBdr/>
        <w:spacing/>
        <w:ind/>
      </w:pPr>
      <w:tblPr>
        <w:tblBorders/>
      </w:tblPr>
      <w:tcPr>
        <w:tcBorders>
          <w:bottom w:val="single" w:color="a6bfdd" w:themeColor="accent1" w:themeTint="80" w:sz="12" w:space="0"/>
        </w:tcBorders>
      </w:tcPr>
    </w:tblStylePr>
    <w:tblStylePr w:type="lastCol">
      <w:rPr>
        <w:b/>
        <w:color w:val="a6bfdd" w:themeColor="accent1" w:themeTint="80" w:themeShade="95"/>
      </w:rPr>
      <w:pPr>
        <w:pBdr/>
        <w:spacing/>
        <w:ind/>
      </w:pPr>
      <w:tblPr>
        <w:tblBorders/>
      </w:tblPr>
      <w:tcPr>
        <w:tcBorders/>
      </w:tcPr>
    </w:tblStylePr>
    <w:tblStylePr w:type="lastRow">
      <w:rPr>
        <w:b/>
        <w:color w:val="a6bfd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customStyle="1">
    <w:name w:val="Grid Table 6 Colorful - Accent 2"/>
    <w:basedOn w:val="800"/>
    <w:uiPriority w:val="99"/>
    <w:pPr>
      <w:pBdr/>
      <w:spacing w:after="0" w:line="240" w:lineRule="auto"/>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12"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customStyle="1">
    <w:name w:val="Grid Table 6 Colorful - Accent 3"/>
    <w:basedOn w:val="800"/>
    <w:uiPriority w:val="99"/>
    <w:pPr>
      <w:pBdr/>
      <w:spacing w:after="0" w:line="240" w:lineRule="auto"/>
      <w:ind/>
    </w:pPr>
    <w:tblPr>
      <w:tblStyleRowBandSize w:val="1"/>
      <w:tblStyleColBandSize w:val="1"/>
      <w:tbl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abb59" w:themeColor="accent3" w:themeTint="FE" w:themeShade="95"/>
      </w:rPr>
      <w:pPr>
        <w:pBdr/>
        <w:spacing/>
        <w:ind/>
      </w:pPr>
      <w:tblPr>
        <w:tblBorders/>
      </w:tblPr>
      <w:tcPr>
        <w:tcBorders/>
      </w:tcPr>
    </w:tblStylePr>
    <w:tblStylePr w:type="firstRow">
      <w:rPr>
        <w:b/>
        <w:color w:val="9abb59" w:themeColor="accent3" w:themeTint="FE" w:themeShade="95"/>
      </w:rPr>
      <w:pPr>
        <w:pBdr/>
        <w:spacing/>
        <w:ind/>
      </w:pPr>
      <w:tblPr>
        <w:tblBorders/>
      </w:tblPr>
      <w:tcPr>
        <w:tcBorders>
          <w:bottom w:val="single" w:color="9abb59" w:themeColor="accent3" w:themeTint="FE" w:sz="12" w:space="0"/>
        </w:tcBorders>
      </w:tcPr>
    </w:tblStylePr>
    <w:tblStylePr w:type="lastCol">
      <w:rPr>
        <w:b/>
        <w:color w:val="9abb59" w:themeColor="accent3" w:themeTint="FE" w:themeShade="95"/>
      </w:rPr>
      <w:pPr>
        <w:pBdr/>
        <w:spacing/>
        <w:ind/>
      </w:pPr>
      <w:tblPr>
        <w:tblBorders/>
      </w:tblPr>
      <w:tcPr>
        <w:tcBorders/>
      </w:tcPr>
    </w:tblStylePr>
    <w:tblStylePr w:type="lastRow">
      <w:rPr>
        <w:b/>
        <w:color w:val="9abb59"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customStyle="1">
    <w:name w:val="Grid Table 6 Colorful - Accent 4"/>
    <w:basedOn w:val="800"/>
    <w:uiPriority w:val="99"/>
    <w:pPr>
      <w:pBdr/>
      <w:spacing w:after="0" w:line="240" w:lineRule="auto"/>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12"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customStyle="1">
    <w:name w:val="Grid Table 6 Colorful - Accent 5"/>
    <w:basedOn w:val="800"/>
    <w:uiPriority w:val="99"/>
    <w:pPr>
      <w:pBdr/>
      <w:spacing w:after="0" w:line="240" w:lineRule="auto"/>
      <w:ind/>
    </w:pPr>
    <w:tblPr>
      <w:tblStyleRowBandSize w:val="1"/>
      <w:tblStyleColBandSize w:val="1"/>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4bacc6" w:themeColor="accent5"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customStyle="1">
    <w:name w:val="Grid Table 6 Colorful - Accent 6"/>
    <w:basedOn w:val="800"/>
    <w:uiPriority w:val="99"/>
    <w:pPr>
      <w:pBdr/>
      <w:spacing w:after="0" w:line="240" w:lineRule="auto"/>
      <w:ind/>
    </w:pPr>
    <w:tblPr>
      <w:tblStyleRowBandSize w:val="1"/>
      <w:tblStyleColBandSize w:val="1"/>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266779" w:themeColor="accent5"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f79646" w:themeColor="accent6"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Grid Table 7 Colorful"/>
    <w:basedOn w:val="800"/>
    <w:uiPriority w:val="99"/>
    <w:pPr>
      <w:pBdr/>
      <w:spacing w:after="0" w:line="240" w:lineRule="auto"/>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customStyle="1">
    <w:name w:val="Grid Table 7 Colorful - Accent 1"/>
    <w:basedOn w:val="800"/>
    <w:uiPriority w:val="99"/>
    <w:pPr>
      <w:pBdr/>
      <w:spacing w:after="0" w:line="240" w:lineRule="auto"/>
      <w:ind/>
    </w:pPr>
    <w:tblPr>
      <w:tblStyleRowBandSize w:val="1"/>
      <w:tblStyleColBandSize w:val="1"/>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6bfdd" w:themeColor="accen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6bfdd" w:themeColor="accent1" w:themeTint="80" w:sz="4" w:space="0"/>
        </w:tcBorders>
      </w:tcPr>
    </w:tblStylePr>
    <w:tblStylePr w:type="fir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6bfdd" w:themeColor="accent1" w:themeTint="80" w:sz="4" w:space="0"/>
          <w:right w:val="none" w:color="000000" w:sz="4" w:space="0"/>
        </w:tcBorders>
      </w:tcPr>
    </w:tblStylePr>
    <w:tblStylePr w:type="lastCol">
      <w:rPr>
        <w:rFonts w:ascii="Arial" w:hAnsi="Arial"/>
        <w:i/>
        <w:color w:val="a6bfdd" w:themeColor="accent1" w:themeTint="80" w:themeShade="95"/>
        <w:sz w:val="22"/>
      </w:rPr>
      <w:pPr>
        <w:pBdr/>
        <w:spacing/>
        <w:ind/>
      </w:pPr>
      <w:tblPr>
        <w:tblBorders/>
      </w:tblPr>
      <w:tcPr>
        <w:shd w:val="clear" w:color="ffffff" w:fill="auto"/>
        <w:tcBorders>
          <w:top w:val="none" w:color="000000" w:sz="4" w:space="0"/>
          <w:left w:val="single" w:color="a6bfdd" w:themeColor="accent1" w:themeTint="80" w:sz="4" w:space="0"/>
          <w:bottom w:val="none" w:color="000000" w:sz="4" w:space="0"/>
          <w:right w:val="none" w:color="000000" w:sz="4" w:space="0"/>
        </w:tcBorders>
      </w:tcPr>
    </w:tblStylePr>
    <w:tblStylePr w:type="la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single" w:color="a6bfdd"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customStyle="1">
    <w:name w:val="Grid Table 7 Colorful - Accent 2"/>
    <w:basedOn w:val="800"/>
    <w:uiPriority w:val="99"/>
    <w:pPr>
      <w:pBdr/>
      <w:spacing w:after="0" w:line="240" w:lineRule="auto"/>
      <w:ind/>
    </w:pPr>
    <w:tblPr>
      <w:tblStyleRowBandSize w:val="1"/>
      <w:tblStyleColBandSize w:val="1"/>
      <w:tblBorders>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99695" w:themeColor="accent2" w:themeTint="97" w:sz="4" w:space="0"/>
        </w:tcBorders>
      </w:tcPr>
    </w:tblStylePr>
    <w:tblStylePr w:type="fir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d99695" w:themeColor="accent2" w:themeTint="97" w:sz="4" w:space="0"/>
          <w:right w:val="none" w:color="000000" w:sz="4"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4" w:space="0"/>
          <w:left w:val="single" w:color="d99695" w:themeColor="accent2" w:themeTint="97" w:sz="4" w:space="0"/>
          <w:bottom w:val="none" w:color="000000" w:sz="4" w:space="0"/>
          <w:right w:val="none" w:color="000000" w:sz="4" w:space="0"/>
        </w:tcBorders>
      </w:tcPr>
    </w:tblStylePr>
    <w:tblStylePr w:type="la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customStyle="1">
    <w:name w:val="Grid Table 7 Colorful - Accent 3"/>
    <w:basedOn w:val="800"/>
    <w:uiPriority w:val="99"/>
    <w:pPr>
      <w:pBdr/>
      <w:spacing w:after="0" w:line="240" w:lineRule="auto"/>
      <w:ind/>
    </w:pPr>
    <w:tblPr>
      <w:tblStyleRowBandSize w:val="1"/>
      <w:tblStyleColBandSize w:val="1"/>
      <w:tblBorders>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abb59" w:themeColor="accent3" w:themeTint="FE"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abb59" w:themeColor="accent3" w:themeTint="FE" w:sz="4" w:space="0"/>
        </w:tcBorders>
      </w:tcPr>
    </w:tblStylePr>
    <w:tblStylePr w:type="fir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abb59" w:themeColor="accent3" w:themeTint="FE" w:sz="4" w:space="0"/>
          <w:right w:val="none" w:color="000000" w:sz="4" w:space="0"/>
        </w:tcBorders>
      </w:tcPr>
    </w:tblStylePr>
    <w:tblStylePr w:type="lastCol">
      <w:rPr>
        <w:rFonts w:ascii="Arial" w:hAnsi="Arial"/>
        <w:i/>
        <w:color w:val="9abb59" w:themeColor="accent3" w:themeTint="FE" w:themeShade="95"/>
        <w:sz w:val="22"/>
      </w:rPr>
      <w:pPr>
        <w:pBdr/>
        <w:spacing/>
        <w:ind/>
      </w:pPr>
      <w:tblPr>
        <w:tblBorders/>
      </w:tblPr>
      <w:tcPr>
        <w:shd w:val="clear" w:color="ffffff" w:fill="auto"/>
        <w:tcBorders>
          <w:top w:val="none" w:color="000000" w:sz="4" w:space="0"/>
          <w:left w:val="single" w:color="9abb59" w:themeColor="accent3" w:themeTint="FE" w:sz="4" w:space="0"/>
          <w:bottom w:val="none" w:color="000000" w:sz="4" w:space="0"/>
          <w:right w:val="none" w:color="000000" w:sz="4" w:space="0"/>
        </w:tcBorders>
      </w:tcPr>
    </w:tblStylePr>
    <w:tblStylePr w:type="la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customStyle="1">
    <w:name w:val="Grid Table 7 Colorful - Accent 4"/>
    <w:basedOn w:val="800"/>
    <w:uiPriority w:val="99"/>
    <w:pPr>
      <w:pBdr/>
      <w:spacing w:after="0" w:line="240" w:lineRule="auto"/>
      <w:ind/>
    </w:pPr>
    <w:tblPr>
      <w:tblStyleRowBandSize w:val="1"/>
      <w:tblStyleColBandSize w:val="1"/>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b2a1c6" w:themeColor="accent4" w:themeTint="9A" w:sz="4" w:space="0"/>
        </w:tcBorders>
      </w:tcPr>
    </w:tblStylePr>
    <w:tblStylePr w:type="fir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b2a1c6" w:themeColor="accent4" w:themeTint="9A" w:sz="4" w:space="0"/>
          <w:right w:val="none" w:color="000000" w:sz="4"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4" w:space="0"/>
          <w:left w:val="single" w:color="b2a1c6" w:themeColor="accent4" w:themeTint="9A" w:sz="4" w:space="0"/>
          <w:bottom w:val="none" w:color="000000" w:sz="4" w:space="0"/>
          <w:right w:val="none" w:color="000000" w:sz="4" w:space="0"/>
        </w:tcBorders>
      </w:tcPr>
    </w:tblStylePr>
    <w:tblStylePr w:type="la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customStyle="1">
    <w:name w:val="Grid Table 7 Colorful - Accent 5"/>
    <w:basedOn w:val="800"/>
    <w:uiPriority w:val="99"/>
    <w:pPr>
      <w:pBdr/>
      <w:spacing w:after="0" w:line="240" w:lineRule="auto"/>
      <w:ind/>
    </w:pPr>
    <w:tblPr>
      <w:tblStyleRowBandSize w:val="1"/>
      <w:tblStyleColBandSize w:val="1"/>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779" w:themeColor="accent5"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9d0de" w:themeColor="accent5" w:themeTint="90" w:sz="4" w:space="0"/>
        </w:tcBorders>
      </w:tcPr>
    </w:tblStylePr>
    <w:tblStylePr w:type="firstRow">
      <w:rPr>
        <w:rFonts w:ascii="Arial" w:hAnsi="Arial"/>
        <w:b/>
        <w:color w:val="2667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9d0de" w:themeColor="accent5" w:themeTint="90" w:sz="4" w:space="0"/>
          <w:right w:val="none" w:color="000000" w:sz="4" w:space="0"/>
        </w:tcBorders>
      </w:tcPr>
    </w:tblStylePr>
    <w:tblStylePr w:type="lastCol">
      <w:rPr>
        <w:rFonts w:ascii="Arial" w:hAnsi="Arial"/>
        <w:i/>
        <w:color w:val="266779" w:themeColor="accent5" w:themeShade="95"/>
        <w:sz w:val="22"/>
      </w:rPr>
      <w:pPr>
        <w:pBdr/>
        <w:spacing/>
        <w:ind/>
      </w:pPr>
      <w:tblPr>
        <w:tblBorders/>
      </w:tblPr>
      <w:tcPr>
        <w:shd w:val="clear" w:color="ffffff" w:fill="auto"/>
        <w:tcBorders>
          <w:top w:val="none" w:color="000000" w:sz="4" w:space="0"/>
          <w:left w:val="single" w:color="99d0de" w:themeColor="accent5" w:themeTint="90" w:sz="4" w:space="0"/>
          <w:bottom w:val="none" w:color="000000" w:sz="4" w:space="0"/>
          <w:right w:val="none" w:color="000000" w:sz="4" w:space="0"/>
        </w:tcBorders>
      </w:tcPr>
    </w:tblStylePr>
    <w:tblStylePr w:type="lastRow">
      <w:rPr>
        <w:rFonts w:ascii="Arial" w:hAnsi="Arial"/>
        <w:b/>
        <w:color w:val="266779" w:themeColor="accent5" w:themeShade="95"/>
        <w:sz w:val="22"/>
      </w:rPr>
      <w:pPr>
        <w:pBdr/>
        <w:spacing/>
        <w:ind/>
      </w:pPr>
      <w:tblPr>
        <w:tblBorders/>
      </w:tblPr>
      <w:tcPr>
        <w:shd w:val="clear" w:color="ffffff" w:themeColor="light1" w:fill="ffffff" w:themeFill="light1"/>
        <w:tcBorders>
          <w:top w:val="single" w:color="99d0de"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customStyle="1">
    <w:name w:val="Grid Table 7 Colorful - Accent 6"/>
    <w:basedOn w:val="800"/>
    <w:uiPriority w:val="99"/>
    <w:pPr>
      <w:pBdr/>
      <w:spacing w:after="0" w:line="240" w:lineRule="auto"/>
      <w:ind/>
    </w:pPr>
    <w:tblPr>
      <w:tblStyleRowBandSize w:val="1"/>
      <w:tblStyleColBandSize w:val="1"/>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b15407" w:themeColor="accent6"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b15407"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15407" w:themeColor="accent6"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ac396" w:themeColor="accent6" w:themeTint="90" w:sz="4" w:space="0"/>
        </w:tcBorders>
      </w:tcPr>
    </w:tblStylePr>
    <w:tblStylePr w:type="firstRow">
      <w:rPr>
        <w:rFonts w:ascii="Arial" w:hAnsi="Arial"/>
        <w:b/>
        <w:color w:val="b15407"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ac396" w:themeColor="accent6" w:themeTint="90" w:sz="4" w:space="0"/>
          <w:right w:val="none" w:color="000000" w:sz="4" w:space="0"/>
        </w:tcBorders>
      </w:tcPr>
    </w:tblStylePr>
    <w:tblStylePr w:type="lastCol">
      <w:rPr>
        <w:rFonts w:ascii="Arial" w:hAnsi="Arial"/>
        <w:i/>
        <w:color w:val="b15407" w:themeColor="accent6" w:themeShade="95"/>
        <w:sz w:val="22"/>
      </w:rPr>
      <w:pPr>
        <w:pBdr/>
        <w:spacing/>
        <w:ind/>
      </w:pPr>
      <w:tblPr>
        <w:tblBorders/>
      </w:tblPr>
      <w:tcPr>
        <w:shd w:val="clear" w:color="ffffff" w:fill="auto"/>
        <w:tcBorders>
          <w:top w:val="none" w:color="000000" w:sz="4" w:space="0"/>
          <w:left w:val="single" w:color="fac396" w:themeColor="accent6" w:themeTint="90" w:sz="4" w:space="0"/>
          <w:bottom w:val="none" w:color="000000" w:sz="4" w:space="0"/>
          <w:right w:val="none" w:color="000000" w:sz="4" w:space="0"/>
        </w:tcBorders>
      </w:tcPr>
    </w:tblStylePr>
    <w:tblStylePr w:type="lastRow">
      <w:rPr>
        <w:rFonts w:ascii="Arial" w:hAnsi="Arial"/>
        <w:b/>
        <w:color w:val="b15407" w:themeColor="accent6" w:themeShade="95"/>
        <w:sz w:val="22"/>
      </w:rPr>
      <w:pPr>
        <w:pBdr/>
        <w:spacing/>
        <w:ind/>
      </w:pPr>
      <w:tblPr>
        <w:tblBorders/>
      </w:tblPr>
      <w:tcPr>
        <w:shd w:val="clear" w:color="ffffff" w:themeColor="light1" w:fill="ffffff" w:themeFill="light1"/>
        <w:tcBorders>
          <w:top w:val="single" w:color="fac396"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1 Light"/>
    <w:basedOn w:val="800"/>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customStyle="1">
    <w:name w:val="List Table 1 Light - Accent 1"/>
    <w:basedOn w:val="800"/>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f81bd"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customStyle="1">
    <w:name w:val="List Table 1 Light - Accent 2"/>
    <w:basedOn w:val="800"/>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c0504d"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c0504d"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customStyle="1">
    <w:name w:val="List Table 1 Light - Accent 3"/>
    <w:basedOn w:val="800"/>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9bbb59"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bbb59"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customStyle="1">
    <w:name w:val="List Table 1 Light - Accent 4"/>
    <w:basedOn w:val="800"/>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8064a2"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8064a2"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customStyle="1">
    <w:name w:val="List Table 1 Light - Accent 5"/>
    <w:basedOn w:val="800"/>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bacc6"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customStyle="1">
    <w:name w:val="List Table 1 Light - Accent 6"/>
    <w:basedOn w:val="800"/>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79646"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st Table 2"/>
    <w:basedOn w:val="800"/>
    <w:uiPriority w:val="99"/>
    <w:pPr>
      <w:pBdr/>
      <w:spacing w:after="0" w:line="240" w:lineRule="auto"/>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customStyle="1">
    <w:name w:val="List Table 2 - Accent 1"/>
    <w:basedOn w:val="800"/>
    <w:uiPriority w:val="99"/>
    <w:pPr>
      <w:pBdr/>
      <w:spacing w:after="0" w:line="240" w:lineRule="auto"/>
      <w:ind/>
    </w:pPr>
    <w:tblPr>
      <w:tblStyleRowBandSize w:val="1"/>
      <w:tblStyleColBandSize w:val="1"/>
      <w:tblBorders>
        <w:top w:val="single" w:color="9bb7d9" w:themeColor="accent1" w:themeTint="90" w:sz="4" w:space="0"/>
        <w:bottom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customStyle="1">
    <w:name w:val="List Table 2 - Accent 2"/>
    <w:basedOn w:val="800"/>
    <w:uiPriority w:val="99"/>
    <w:pPr>
      <w:pBdr/>
      <w:spacing w:after="0" w:line="240" w:lineRule="auto"/>
      <w:ind/>
    </w:pPr>
    <w:tblPr>
      <w:tblStyleRowBandSize w:val="1"/>
      <w:tblStyleColBandSize w:val="1"/>
      <w:tblBorders>
        <w:top w:val="single" w:color="db9b9a" w:themeColor="accent2" w:themeTint="90" w:sz="4" w:space="0"/>
        <w:bottom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customStyle="1">
    <w:name w:val="List Table 2 - Accent 3"/>
    <w:basedOn w:val="800"/>
    <w:uiPriority w:val="99"/>
    <w:pPr>
      <w:pBdr/>
      <w:spacing w:after="0" w:line="240" w:lineRule="auto"/>
      <w:ind/>
    </w:pPr>
    <w:tblPr>
      <w:tblStyleRowBandSize w:val="1"/>
      <w:tblStyleColBandSize w:val="1"/>
      <w:tblBorders>
        <w:top w:val="single" w:color="c6d8a1" w:themeColor="accent3" w:themeTint="90" w:sz="4" w:space="0"/>
        <w:bottom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customStyle="1">
    <w:name w:val="List Table 2 - Accent 4"/>
    <w:basedOn w:val="800"/>
    <w:uiPriority w:val="99"/>
    <w:pPr>
      <w:pBdr/>
      <w:spacing w:after="0" w:line="240" w:lineRule="auto"/>
      <w:ind/>
    </w:pPr>
    <w:tblPr>
      <w:tblStyleRowBandSize w:val="1"/>
      <w:tblStyleColBandSize w:val="1"/>
      <w:tblBorders>
        <w:top w:val="single" w:color="b7a7ca" w:themeColor="accent4" w:themeTint="90" w:sz="4" w:space="0"/>
        <w:bottom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customStyle="1">
    <w:name w:val="List Table 2 - Accent 5"/>
    <w:basedOn w:val="800"/>
    <w:uiPriority w:val="99"/>
    <w:pPr>
      <w:pBdr/>
      <w:spacing w:after="0" w:line="240" w:lineRule="auto"/>
      <w:ind/>
    </w:pPr>
    <w:tblPr>
      <w:tblStyleRowBandSize w:val="1"/>
      <w:tblStyleColBandSize w:val="1"/>
      <w:tblBorders>
        <w:top w:val="single" w:color="99d0de" w:themeColor="accent5" w:themeTint="90" w:sz="4" w:space="0"/>
        <w:bottom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customStyle="1">
    <w:name w:val="List Table 2 - Accent 6"/>
    <w:basedOn w:val="800"/>
    <w:uiPriority w:val="99"/>
    <w:pPr>
      <w:pBdr/>
      <w:spacing w:after="0" w:line="240" w:lineRule="auto"/>
      <w:ind/>
    </w:pPr>
    <w:tblPr>
      <w:tblStyleRowBandSize w:val="1"/>
      <w:tblStyleColBandSize w:val="1"/>
      <w:tblBorders>
        <w:top w:val="single" w:color="fac396" w:themeColor="accent6" w:themeTint="90" w:sz="4" w:space="0"/>
        <w:bottom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3"/>
    <w:basedOn w:val="800"/>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customStyle="1">
    <w:name w:val="List Table 3 - Accent 1"/>
    <w:basedOn w:val="800"/>
    <w:uiPriority w:val="99"/>
    <w:pPr>
      <w:pBdr/>
      <w:spacing w:after="0" w:line="240" w:lineRule="auto"/>
      <w:ind/>
    </w:pPr>
    <w:tblPr>
      <w:tblStyleRowBandSize w:val="1"/>
      <w:tblStyleColBandSize w:val="1"/>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cPr>
      <w:tcBorders/>
    </w:tcPr>
    <w:tblStylePr w:type="band1Horz">
      <w:rPr>
        <w:rFonts w:ascii="Arial" w:hAnsi="Arial"/>
        <w:color w:val="404040"/>
        <w:sz w:val="22"/>
      </w:rPr>
      <w:pPr>
        <w:pBdr/>
        <w:spacing/>
        <w:ind/>
      </w:pPr>
      <w:tblPr>
        <w:tblBorders/>
      </w:tblPr>
      <w:tcPr>
        <w:tcBorders>
          <w:top w:val="single" w:color="4f81bd" w:themeColor="accent1" w:sz="4" w:space="0"/>
          <w:bottom w:val="single" w:color="4f81bd" w:themeColor="accent1" w:sz="4" w:space="0"/>
        </w:tcBorders>
      </w:tcPr>
    </w:tblStylePr>
    <w:tblStylePr w:type="band1Vert">
      <w:rPr>
        <w:rFonts w:ascii="Arial" w:hAnsi="Arial"/>
        <w:color w:val="404040"/>
        <w:sz w:val="22"/>
      </w:rPr>
      <w:pPr>
        <w:pBdr/>
        <w:spacing/>
        <w:ind/>
      </w:pPr>
      <w:tblPr>
        <w:tblBorders/>
      </w:tblPr>
      <w:tcPr>
        <w:tcBorders>
          <w:left w:val="single" w:color="4f81bd" w:themeColor="accent1" w:sz="4" w:space="0"/>
          <w:right w:val="single" w:color="4f81bd"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customStyle="1">
    <w:name w:val="List Table 3 - Accent 2"/>
    <w:basedOn w:val="800"/>
    <w:uiPriority w:val="99"/>
    <w:pPr>
      <w:pBdr/>
      <w:spacing w:after="0" w:line="240" w:lineRule="auto"/>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d99695" w:themeColor="accent2" w:themeTint="97" w:sz="4" w:space="0"/>
          <w:bottom w:val="single" w:color="d99695" w:themeColor="accent2" w:themeTint="97" w:sz="4" w:space="0"/>
        </w:tcBorders>
      </w:tcPr>
    </w:tblStylePr>
    <w:tblStylePr w:type="band1Vert">
      <w:rPr>
        <w:rFonts w:ascii="Arial" w:hAnsi="Arial"/>
        <w:color w:val="404040"/>
        <w:sz w:val="22"/>
      </w:rPr>
      <w:pPr>
        <w:pBdr/>
        <w:spacing/>
        <w:ind/>
      </w:pPr>
      <w:tblPr>
        <w:tblBorders/>
      </w:tblPr>
      <w:tcPr>
        <w:tcBorders>
          <w:left w:val="single" w:color="d99695" w:themeColor="accent2" w:themeTint="97" w:sz="4" w:space="0"/>
          <w:right w:val="single" w:color="d9969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customStyle="1">
    <w:name w:val="List Table 3 - Accent 3"/>
    <w:basedOn w:val="800"/>
    <w:uiPriority w:val="99"/>
    <w:pPr>
      <w:pBdr/>
      <w:spacing w:after="0" w:line="240" w:lineRule="auto"/>
      <w:ind/>
    </w:pPr>
    <w:tblPr>
      <w:tblStyleRowBandSize w:val="1"/>
      <w:tblStyleColBandSize w:val="1"/>
      <w:tblBorders>
        <w:top w:val="single" w:color="c3d69b" w:themeColor="accent3" w:themeTint="98" w:sz="4" w:space="0"/>
        <w:left w:val="single" w:color="c3d69b" w:themeColor="accent3" w:themeTint="98" w:sz="4" w:space="0"/>
        <w:bottom w:val="single" w:color="c3d69b" w:themeColor="accent3" w:themeTint="98" w:sz="4" w:space="0"/>
        <w:right w:val="single" w:color="c3d69b"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3d69b" w:themeColor="accent3" w:themeTint="98" w:sz="4" w:space="0"/>
          <w:bottom w:val="single" w:color="c3d69b" w:themeColor="accent3" w:themeTint="98" w:sz="4" w:space="0"/>
        </w:tcBorders>
      </w:tcPr>
    </w:tblStylePr>
    <w:tblStylePr w:type="band1Vert">
      <w:rPr>
        <w:rFonts w:ascii="Arial" w:hAnsi="Arial"/>
        <w:color w:val="404040"/>
        <w:sz w:val="22"/>
      </w:rPr>
      <w:pPr>
        <w:pBdr/>
        <w:spacing/>
        <w:ind/>
      </w:pPr>
      <w:tblPr>
        <w:tblBorders/>
      </w:tblPr>
      <w:tcPr>
        <w:tcBorders>
          <w:left w:val="single" w:color="c3d69b" w:themeColor="accent3" w:themeTint="98" w:sz="4" w:space="0"/>
          <w:right w:val="single" w:color="c3d69b"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3d69b" w:themeColor="accent3" w:themeTint="98" w:fill="c3d69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customStyle="1">
    <w:name w:val="List Table 3 - Accent 4"/>
    <w:basedOn w:val="800"/>
    <w:uiPriority w:val="99"/>
    <w:pPr>
      <w:pBdr/>
      <w:spacing w:after="0" w:line="240" w:lineRule="auto"/>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b2a1c6" w:themeColor="accent4" w:themeTint="9A" w:sz="4" w:space="0"/>
          <w:bottom w:val="single" w:color="b2a1c6" w:themeColor="accent4" w:themeTint="9A" w:sz="4" w:space="0"/>
        </w:tcBorders>
      </w:tcPr>
    </w:tblStylePr>
    <w:tblStylePr w:type="band1Vert">
      <w:rPr>
        <w:rFonts w:ascii="Arial" w:hAnsi="Arial"/>
        <w:color w:val="404040"/>
        <w:sz w:val="22"/>
      </w:rPr>
      <w:pPr>
        <w:pBdr/>
        <w:spacing/>
        <w:ind/>
      </w:pPr>
      <w:tblPr>
        <w:tblBorders/>
      </w:tblPr>
      <w:tcPr>
        <w:tcBorders>
          <w:left w:val="single" w:color="b2a1c6" w:themeColor="accent4" w:themeTint="9A" w:sz="4" w:space="0"/>
          <w:right w:val="single" w:color="b2a1c6"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customStyle="1">
    <w:name w:val="List Table 3 - Accent 5"/>
    <w:basedOn w:val="800"/>
    <w:uiPriority w:val="99"/>
    <w:pPr>
      <w:pBdr/>
      <w:spacing w:after="0" w:line="240" w:lineRule="auto"/>
      <w:ind/>
    </w:pPr>
    <w:tblPr>
      <w:tblStyleRowBandSize w:val="1"/>
      <w:tblStyleColBandSize w:val="1"/>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92ccdc" w:themeColor="accent5" w:themeTint="9A" w:sz="4" w:space="0"/>
          <w:bottom w:val="single" w:color="92ccdc" w:themeColor="accent5" w:themeTint="9A" w:sz="4" w:space="0"/>
        </w:tcBorders>
      </w:tcPr>
    </w:tblStylePr>
    <w:tblStylePr w:type="band1Vert">
      <w:rPr>
        <w:rFonts w:ascii="Arial" w:hAnsi="Arial"/>
        <w:color w:val="404040"/>
        <w:sz w:val="22"/>
      </w:rPr>
      <w:pPr>
        <w:pBdr/>
        <w:spacing/>
        <w:ind/>
      </w:pPr>
      <w:tblPr>
        <w:tblBorders/>
      </w:tblPr>
      <w:tcPr>
        <w:tcBorders>
          <w:left w:val="single" w:color="92ccdc" w:themeColor="accent5" w:themeTint="9A" w:sz="4" w:space="0"/>
          <w:right w:val="single" w:color="92ccdc"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2ccdc" w:themeColor="accent5" w:themeTint="9A" w:fill="92ccd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customStyle="1">
    <w:name w:val="List Table 3 - Accent 6"/>
    <w:basedOn w:val="800"/>
    <w:uiPriority w:val="99"/>
    <w:pPr>
      <w:pBdr/>
      <w:spacing w:after="0" w:line="240" w:lineRule="auto"/>
      <w:ind/>
    </w:pPr>
    <w:tblPr>
      <w:tblStyleRowBandSize w:val="1"/>
      <w:tblStyleColBandSize w:val="1"/>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fac090" w:themeColor="accent6" w:themeTint="98" w:sz="4" w:space="0"/>
          <w:bottom w:val="single" w:color="fac090" w:themeColor="accent6" w:themeTint="98" w:sz="4" w:space="0"/>
        </w:tcBorders>
      </w:tcPr>
    </w:tblStylePr>
    <w:tblStylePr w:type="band1Vert">
      <w:rPr>
        <w:rFonts w:ascii="Arial" w:hAnsi="Arial"/>
        <w:color w:val="404040"/>
        <w:sz w:val="22"/>
      </w:rPr>
      <w:pPr>
        <w:pBdr/>
        <w:spacing/>
        <w:ind/>
      </w:pPr>
      <w:tblPr>
        <w:tblBorders/>
      </w:tblPr>
      <w:tcPr>
        <w:tcBorders>
          <w:left w:val="single" w:color="fac090" w:themeColor="accent6" w:themeTint="98" w:sz="4" w:space="0"/>
          <w:right w:val="single" w:color="fac09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ac090" w:themeColor="accent6" w:themeTint="98" w:fill="fac090"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List Table 4"/>
    <w:basedOn w:val="800"/>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customStyle="1">
    <w:name w:val="List Table 4 - Accent 1"/>
    <w:basedOn w:val="800"/>
    <w:uiPriority w:val="99"/>
    <w:pPr>
      <w:pBdr/>
      <w:spacing w:after="0" w:line="240" w:lineRule="auto"/>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customStyle="1">
    <w:name w:val="List Table 4 - Accent 2"/>
    <w:basedOn w:val="800"/>
    <w:uiPriority w:val="99"/>
    <w:pPr>
      <w:pBdr/>
      <w:spacing w:after="0" w:line="240" w:lineRule="auto"/>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customStyle="1">
    <w:name w:val="List Table 4 - Accent 3"/>
    <w:basedOn w:val="800"/>
    <w:uiPriority w:val="99"/>
    <w:pPr>
      <w:pBdr/>
      <w:spacing w:after="0" w:line="240" w:lineRule="auto"/>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customStyle="1">
    <w:name w:val="List Table 4 - Accent 4"/>
    <w:basedOn w:val="800"/>
    <w:uiPriority w:val="99"/>
    <w:pPr>
      <w:pBdr/>
      <w:spacing w:after="0" w:line="240" w:lineRule="auto"/>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customStyle="1">
    <w:name w:val="List Table 4 - Accent 5"/>
    <w:basedOn w:val="800"/>
    <w:uiPriority w:val="99"/>
    <w:pPr>
      <w:pBdr/>
      <w:spacing w:after="0" w:line="240" w:lineRule="auto"/>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customStyle="1">
    <w:name w:val="List Table 4 - Accent 6"/>
    <w:basedOn w:val="800"/>
    <w:uiPriority w:val="99"/>
    <w:pPr>
      <w:pBdr/>
      <w:spacing w:after="0" w:line="240" w:lineRule="auto"/>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st Table 5 Dark"/>
    <w:basedOn w:val="800"/>
    <w:uiPriority w:val="99"/>
    <w:pPr>
      <w:pBdr/>
      <w:spacing w:after="0" w:line="240" w:lineRule="auto"/>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customStyle="1">
    <w:name w:val="List Table 5 Dark - Accent 1"/>
    <w:basedOn w:val="800"/>
    <w:uiPriority w:val="99"/>
    <w:pPr>
      <w:pBdr/>
      <w:spacing w:after="0" w:line="240" w:lineRule="auto"/>
      <w:ind/>
    </w:pPr>
    <w:tblPr>
      <w:tblStyleRowBandSize w:val="1"/>
      <w:tblStyleColBandSize w:val="1"/>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shd w:val="clear" w:color="4f81bd" w:themeColor="accent1" w:fill="4f81bd" w:themeFill="accent1"/>
    </w:tblPr>
    <w:tcPr>
      <w:tcBorders/>
    </w:tcPr>
    <w:tblStylePr w:type="band1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4f81bd" w:themeColor="accent1" w:fill="4f81bd"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f81bd"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f81bd" w:themeColor="accent1" w:fill="4f81bd" w:themeFill="accent1"/>
        <w:tcBorders>
          <w:top w:val="single" w:color="4f81bd"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f81bd"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customStyle="1">
    <w:name w:val="List Table 5 Dark - Accent 2"/>
    <w:basedOn w:val="800"/>
    <w:uiPriority w:val="99"/>
    <w:pPr>
      <w:pBdr/>
      <w:spacing w:after="0" w:line="240" w:lineRule="auto"/>
      <w:ind/>
    </w:pPr>
    <w:tblPr>
      <w:tblStyleRowBandSize w:val="1"/>
      <w:tblStyleColBandSize w:val="1"/>
      <w:tblBorders>
        <w:top w:val="single" w:color="d99695" w:themeColor="accent2" w:themeTint="97" w:sz="32" w:space="0"/>
        <w:left w:val="single" w:color="d99695" w:themeColor="accent2" w:themeTint="97" w:sz="32" w:space="0"/>
        <w:bottom w:val="single" w:color="d99695" w:themeColor="accent2" w:themeTint="97" w:sz="32" w:space="0"/>
        <w:right w:val="single" w:color="d99695" w:themeColor="accent2" w:themeTint="97" w:sz="32" w:space="0"/>
      </w:tblBorders>
      <w:shd w:val="clear" w:color="d99695" w:themeColor="accent2" w:themeTint="97" w:fill="d99695" w:themeFill="accent2" w:themeFillTint="97"/>
    </w:tblPr>
    <w:tcPr>
      <w:tcBorders/>
    </w:tcPr>
    <w:tblStylePr w:type="band1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d99695" w:themeColor="accent2" w:themeTint="97" w:fill="d9969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d99695"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d99695" w:themeColor="accent2" w:themeTint="97" w:fill="d99695" w:themeFill="accent2" w:themeFillTint="97"/>
        <w:tcBorders>
          <w:top w:val="single" w:color="d9969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99695"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customStyle="1">
    <w:name w:val="List Table 5 Dark - Accent 3"/>
    <w:basedOn w:val="800"/>
    <w:uiPriority w:val="99"/>
    <w:pPr>
      <w:pBdr/>
      <w:spacing w:after="0" w:line="240" w:lineRule="auto"/>
      <w:ind/>
    </w:pPr>
    <w:tblPr>
      <w:tblStyleRowBandSize w:val="1"/>
      <w:tblStyleColBandSize w:val="1"/>
      <w:tblBorders>
        <w:top w:val="single" w:color="c3d69b" w:themeColor="accent3" w:themeTint="98" w:sz="32" w:space="0"/>
        <w:left w:val="single" w:color="c3d69b" w:themeColor="accent3" w:themeTint="98" w:sz="32" w:space="0"/>
        <w:bottom w:val="single" w:color="c3d69b" w:themeColor="accent3" w:themeTint="98" w:sz="32" w:space="0"/>
        <w:right w:val="single" w:color="c3d69b" w:themeColor="accent3" w:themeTint="98" w:sz="32" w:space="0"/>
      </w:tblBorders>
      <w:shd w:val="clear" w:color="c3d69b" w:themeColor="accent3" w:themeTint="98" w:fill="c3d69b" w:themeFill="accent3" w:themeFillTint="98"/>
    </w:tblPr>
    <w:tcPr>
      <w:tcBorders/>
    </w:tcPr>
    <w:tblStylePr w:type="band1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3d69b" w:themeColor="accent3" w:themeTint="98" w:fill="c3d69b"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3d69b"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3d69b" w:themeColor="accent3" w:themeTint="98" w:fill="c3d69b" w:themeFill="accent3" w:themeFillTint="98"/>
        <w:tcBorders>
          <w:top w:val="single" w:color="c3d69b"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3d69b"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customStyle="1">
    <w:name w:val="List Table 5 Dark - Accent 4"/>
    <w:basedOn w:val="800"/>
    <w:uiPriority w:val="99"/>
    <w:pPr>
      <w:pBdr/>
      <w:spacing w:after="0" w:line="240" w:lineRule="auto"/>
      <w:ind/>
    </w:pPr>
    <w:tblPr>
      <w:tblStyleRowBandSize w:val="1"/>
      <w:tblStyleColBandSize w:val="1"/>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shd w:val="clear" w:color="b2a1c6" w:themeColor="accent4" w:themeTint="9A" w:fill="b2a1c6" w:themeFill="accent4" w:themeFillTint="9A"/>
    </w:tblPr>
    <w:tcPr>
      <w:tcBorders/>
    </w:tcPr>
    <w:tblStylePr w:type="band1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b2a1c6" w:themeColor="accent4" w:themeTint="9A" w:fill="b2a1c6"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b2a1c6"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b2a1c6" w:themeColor="accent4" w:themeTint="9A" w:fill="b2a1c6" w:themeFill="accent4" w:themeFillTint="9A"/>
        <w:tcBorders>
          <w:top w:val="single" w:color="b2a1c6"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b2a1c6"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customStyle="1">
    <w:name w:val="List Table 5 Dark - Accent 5"/>
    <w:basedOn w:val="800"/>
    <w:uiPriority w:val="99"/>
    <w:pPr>
      <w:pBdr/>
      <w:spacing w:after="0" w:line="240" w:lineRule="auto"/>
      <w:ind/>
    </w:pPr>
    <w:tblPr>
      <w:tblStyleRowBandSize w:val="1"/>
      <w:tblStyleColBandSize w:val="1"/>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shd w:val="clear" w:color="92ccdc" w:themeColor="accent5" w:themeTint="9A" w:fill="92ccdc" w:themeFill="accent5" w:themeFillTint="9A"/>
    </w:tblPr>
    <w:tcPr>
      <w:tcBorders/>
    </w:tcPr>
    <w:tblStylePr w:type="band1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92ccdc" w:themeColor="accent5" w:themeTint="9A" w:fill="92ccdc"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2ccdc"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92ccdc" w:themeColor="accent5" w:themeTint="9A" w:fill="92ccdc" w:themeFill="accent5" w:themeFillTint="9A"/>
        <w:tcBorders>
          <w:top w:val="single" w:color="92ccdc"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2ccdc"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customStyle="1">
    <w:name w:val="List Table 5 Dark - Accent 6"/>
    <w:basedOn w:val="800"/>
    <w:uiPriority w:val="99"/>
    <w:pPr>
      <w:pBdr/>
      <w:spacing w:after="0" w:line="240" w:lineRule="auto"/>
      <w:ind/>
    </w:pPr>
    <w:tblPr>
      <w:tblStyleRowBandSize w:val="1"/>
      <w:tblStyleColBandSize w:val="1"/>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shd w:val="clear" w:color="fac090" w:themeColor="accent6" w:themeTint="98" w:fill="fac090" w:themeFill="accent6" w:themeFillTint="98"/>
    </w:tblPr>
    <w:tcPr>
      <w:tcBorders/>
    </w:tcPr>
    <w:tblStylePr w:type="band1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fac090" w:themeColor="accent6" w:themeTint="98" w:fill="fac090"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ac090"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ac090" w:themeColor="accent6" w:themeTint="98" w:fill="fac090" w:themeFill="accent6" w:themeFillTint="98"/>
        <w:tcBorders>
          <w:top w:val="single" w:color="fac090"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ac09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List Table 6 Colorful"/>
    <w:basedOn w:val="800"/>
    <w:uiPriority w:val="99"/>
    <w:pPr>
      <w:pBdr/>
      <w:spacing w:after="0" w:line="240" w:lineRule="auto"/>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customStyle="1">
    <w:name w:val="List Table 6 Colorful - Accent 1"/>
    <w:basedOn w:val="800"/>
    <w:uiPriority w:val="99"/>
    <w:pPr>
      <w:pBdr/>
      <w:spacing w:after="0" w:line="240" w:lineRule="auto"/>
      <w:ind/>
    </w:pPr>
    <w:tblPr>
      <w:tblStyleRowBandSize w:val="1"/>
      <w:tblStyleColBandSize w:val="1"/>
      <w:tblBorders>
        <w:top w:val="single" w:color="4f81bd" w:themeColor="accent1" w:sz="4" w:space="0"/>
        <w:bottom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a4a71" w:themeColor="accent1" w:themeShade="95"/>
      </w:rPr>
      <w:pPr>
        <w:pBdr/>
        <w:spacing/>
        <w:ind/>
      </w:pPr>
      <w:tblPr>
        <w:tblBorders/>
      </w:tblPr>
      <w:tcPr>
        <w:tcBorders/>
      </w:tcPr>
    </w:tblStylePr>
    <w:tblStylePr w:type="firstRow">
      <w:rPr>
        <w:b/>
        <w:color w:val="2a4a71" w:themeColor="accent1" w:themeShade="95"/>
      </w:rPr>
      <w:pPr>
        <w:pBdr/>
        <w:spacing/>
        <w:ind/>
      </w:pPr>
      <w:tblPr>
        <w:tblBorders/>
      </w:tblPr>
      <w:tcPr>
        <w:tcBorders>
          <w:bottom w:val="single" w:color="4f81bd" w:themeColor="accent1" w:sz="4" w:space="0"/>
        </w:tcBorders>
      </w:tcPr>
    </w:tblStylePr>
    <w:tblStylePr w:type="lastCol">
      <w:rPr>
        <w:b/>
        <w:color w:val="2a4a71" w:themeColor="accent1" w:themeShade="95"/>
      </w:rPr>
      <w:pPr>
        <w:pBdr/>
        <w:spacing/>
        <w:ind/>
      </w:pPr>
      <w:tblPr>
        <w:tblBorders/>
      </w:tblPr>
      <w:tcPr>
        <w:tcBorders/>
      </w:tcPr>
    </w:tblStylePr>
    <w:tblStylePr w:type="lastRow">
      <w:rPr>
        <w:b/>
        <w:color w:val="2a4a71" w:themeColor="accent1" w:themeShade="95"/>
      </w:rPr>
      <w:pPr>
        <w:pBdr/>
        <w:spacing/>
        <w:ind/>
      </w:pPr>
      <w:tblPr>
        <w:tblBorders/>
      </w:tblPr>
      <w:tcPr>
        <w:tcBorders>
          <w:top w:val="single" w:color="4f81bd"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customStyle="1">
    <w:name w:val="List Table 6 Colorful - Accent 2"/>
    <w:basedOn w:val="800"/>
    <w:uiPriority w:val="99"/>
    <w:pPr>
      <w:pBdr/>
      <w:spacing w:after="0" w:line="240" w:lineRule="auto"/>
      <w:ind/>
    </w:pPr>
    <w:tblPr>
      <w:tblStyleRowBandSize w:val="1"/>
      <w:tblStyleColBandSize w:val="1"/>
      <w:tblBorders>
        <w:top w:val="single" w:color="d99695" w:themeColor="accent2" w:themeTint="97" w:sz="4" w:space="0"/>
        <w:bottom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4"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customStyle="1">
    <w:name w:val="List Table 6 Colorful - Accent 3"/>
    <w:basedOn w:val="800"/>
    <w:uiPriority w:val="99"/>
    <w:pPr>
      <w:pBdr/>
      <w:spacing w:after="0" w:line="240" w:lineRule="auto"/>
      <w:ind/>
    </w:pPr>
    <w:tblPr>
      <w:tblStyleRowBandSize w:val="1"/>
      <w:tblStyleColBandSize w:val="1"/>
      <w:tblBorders>
        <w:top w:val="single" w:color="c3d69b" w:themeColor="accent3" w:themeTint="98" w:sz="4" w:space="0"/>
        <w:bottom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3d69b" w:themeColor="accent3" w:themeTint="98" w:themeShade="95"/>
      </w:rPr>
      <w:pPr>
        <w:pBdr/>
        <w:spacing/>
        <w:ind/>
      </w:pPr>
      <w:tblPr>
        <w:tblBorders/>
      </w:tblPr>
      <w:tcPr>
        <w:tcBorders/>
      </w:tcPr>
    </w:tblStylePr>
    <w:tblStylePr w:type="firstRow">
      <w:rPr>
        <w:b/>
        <w:color w:val="c3d69b" w:themeColor="accent3" w:themeTint="98" w:themeShade="95"/>
      </w:rPr>
      <w:pPr>
        <w:pBdr/>
        <w:spacing/>
        <w:ind/>
      </w:pPr>
      <w:tblPr>
        <w:tblBorders/>
      </w:tblPr>
      <w:tcPr>
        <w:tcBorders>
          <w:bottom w:val="single" w:color="c3d69b" w:themeColor="accent3" w:themeTint="98" w:sz="4" w:space="0"/>
        </w:tcBorders>
      </w:tcPr>
    </w:tblStylePr>
    <w:tblStylePr w:type="lastCol">
      <w:rPr>
        <w:b/>
        <w:color w:val="c3d69b" w:themeColor="accent3" w:themeTint="98" w:themeShade="95"/>
      </w:rPr>
      <w:pPr>
        <w:pBdr/>
        <w:spacing/>
        <w:ind/>
      </w:pPr>
      <w:tblPr>
        <w:tblBorders/>
      </w:tblPr>
      <w:tcPr>
        <w:tcBorders/>
      </w:tcPr>
    </w:tblStylePr>
    <w:tblStylePr w:type="lastRow">
      <w:rPr>
        <w:b/>
        <w:color w:val="c3d69b" w:themeColor="accent3" w:themeTint="98" w:themeShade="95"/>
      </w:rPr>
      <w:pPr>
        <w:pBdr/>
        <w:spacing/>
        <w:ind/>
      </w:pPr>
      <w:tblPr>
        <w:tblBorders/>
      </w:tblPr>
      <w:tcPr>
        <w:tcBorders>
          <w:top w:val="single" w:color="c3d69b"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customStyle="1">
    <w:name w:val="List Table 6 Colorful - Accent 4"/>
    <w:basedOn w:val="800"/>
    <w:uiPriority w:val="99"/>
    <w:pPr>
      <w:pBdr/>
      <w:spacing w:after="0" w:line="240" w:lineRule="auto"/>
      <w:ind/>
    </w:pPr>
    <w:tblPr>
      <w:tblStyleRowBandSize w:val="1"/>
      <w:tblStyleColBandSize w:val="1"/>
      <w:tblBorders>
        <w:top w:val="single" w:color="b2a1c6" w:themeColor="accent4" w:themeTint="9A" w:sz="4" w:space="0"/>
        <w:bottom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4"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customStyle="1">
    <w:name w:val="List Table 6 Colorful - Accent 5"/>
    <w:basedOn w:val="800"/>
    <w:uiPriority w:val="99"/>
    <w:pPr>
      <w:pBdr/>
      <w:spacing w:after="0" w:line="240" w:lineRule="auto"/>
      <w:ind/>
    </w:pPr>
    <w:tblPr>
      <w:tblStyleRowBandSize w:val="1"/>
      <w:tblStyleColBandSize w:val="1"/>
      <w:tblBorders>
        <w:top w:val="single" w:color="92ccdc" w:themeColor="accent5" w:themeTint="9A" w:sz="4" w:space="0"/>
        <w:bottom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2ccdc" w:themeColor="accent5" w:themeTint="9A" w:themeShade="95"/>
      </w:rPr>
      <w:pPr>
        <w:pBdr/>
        <w:spacing/>
        <w:ind/>
      </w:pPr>
      <w:tblPr>
        <w:tblBorders/>
      </w:tblPr>
      <w:tcPr>
        <w:tcBorders/>
      </w:tcPr>
    </w:tblStylePr>
    <w:tblStylePr w:type="firstRow">
      <w:rPr>
        <w:b/>
        <w:color w:val="92ccdc" w:themeColor="accent5" w:themeTint="9A" w:themeShade="95"/>
      </w:rPr>
      <w:pPr>
        <w:pBdr/>
        <w:spacing/>
        <w:ind/>
      </w:pPr>
      <w:tblPr>
        <w:tblBorders/>
      </w:tblPr>
      <w:tcPr>
        <w:tcBorders>
          <w:bottom w:val="single" w:color="92ccdc" w:themeColor="accent5" w:themeTint="9A" w:sz="4" w:space="0"/>
        </w:tcBorders>
      </w:tcPr>
    </w:tblStylePr>
    <w:tblStylePr w:type="lastCol">
      <w:rPr>
        <w:b/>
        <w:color w:val="92ccdc" w:themeColor="accent5" w:themeTint="9A" w:themeShade="95"/>
      </w:rPr>
      <w:pPr>
        <w:pBdr/>
        <w:spacing/>
        <w:ind/>
      </w:pPr>
      <w:tblPr>
        <w:tblBorders/>
      </w:tblPr>
      <w:tcPr>
        <w:tcBorders/>
      </w:tcPr>
    </w:tblStylePr>
    <w:tblStylePr w:type="lastRow">
      <w:rPr>
        <w:b/>
        <w:color w:val="92ccdc" w:themeColor="accent5" w:themeTint="9A" w:themeShade="95"/>
      </w:rPr>
      <w:pPr>
        <w:pBdr/>
        <w:spacing/>
        <w:ind/>
      </w:pPr>
      <w:tblPr>
        <w:tblBorders/>
      </w:tblPr>
      <w:tcPr>
        <w:tcBorders>
          <w:top w:val="single" w:color="92ccdc"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customStyle="1">
    <w:name w:val="List Table 6 Colorful - Accent 6"/>
    <w:basedOn w:val="800"/>
    <w:uiPriority w:val="99"/>
    <w:pPr>
      <w:pBdr/>
      <w:spacing w:after="0" w:line="240" w:lineRule="auto"/>
      <w:ind/>
    </w:pPr>
    <w:tblPr>
      <w:tblStyleRowBandSize w:val="1"/>
      <w:tblStyleColBandSize w:val="1"/>
      <w:tblBorders>
        <w:top w:val="single" w:color="fac090" w:themeColor="accent6" w:themeTint="98" w:sz="4" w:space="0"/>
        <w:bottom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ac090" w:themeColor="accent6" w:themeTint="98" w:themeShade="95"/>
      </w:rPr>
      <w:pPr>
        <w:pBdr/>
        <w:spacing/>
        <w:ind/>
      </w:pPr>
      <w:tblPr>
        <w:tblBorders/>
      </w:tblPr>
      <w:tcPr>
        <w:tcBorders/>
      </w:tcPr>
    </w:tblStylePr>
    <w:tblStylePr w:type="firstRow">
      <w:rPr>
        <w:b/>
        <w:color w:val="fac090" w:themeColor="accent6" w:themeTint="98" w:themeShade="95"/>
      </w:rPr>
      <w:pPr>
        <w:pBdr/>
        <w:spacing/>
        <w:ind/>
      </w:pPr>
      <w:tblPr>
        <w:tblBorders/>
      </w:tblPr>
      <w:tcPr>
        <w:tcBorders>
          <w:bottom w:val="single" w:color="fac090" w:themeColor="accent6" w:themeTint="98" w:sz="4" w:space="0"/>
        </w:tcBorders>
      </w:tcPr>
    </w:tblStylePr>
    <w:tblStylePr w:type="lastCol">
      <w:rPr>
        <w:b/>
        <w:color w:val="fac090" w:themeColor="accent6" w:themeTint="98" w:themeShade="95"/>
      </w:rPr>
      <w:pPr>
        <w:pBdr/>
        <w:spacing/>
        <w:ind/>
      </w:pPr>
      <w:tblPr>
        <w:tblBorders/>
      </w:tblPr>
      <w:tcPr>
        <w:tcBorders/>
      </w:tcPr>
    </w:tblStylePr>
    <w:tblStylePr w:type="lastRow">
      <w:rPr>
        <w:b/>
        <w:color w:val="fac090" w:themeColor="accent6" w:themeTint="98" w:themeShade="95"/>
      </w:rPr>
      <w:pPr>
        <w:pBdr/>
        <w:spacing/>
        <w:ind/>
      </w:pPr>
      <w:tblPr>
        <w:tblBorders/>
      </w:tblPr>
      <w:tcPr>
        <w:tcBorders>
          <w:top w:val="single" w:color="fac09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List Table 7 Colorful"/>
    <w:basedOn w:val="800"/>
    <w:uiPriority w:val="99"/>
    <w:pPr>
      <w:pBdr/>
      <w:spacing w:after="0" w:line="240" w:lineRule="auto"/>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customStyle="1">
    <w:name w:val="List Table 7 Colorful - Accent 1"/>
    <w:basedOn w:val="800"/>
    <w:uiPriority w:val="99"/>
    <w:pPr>
      <w:pBdr/>
      <w:spacing w:after="0" w:line="240" w:lineRule="auto"/>
      <w:ind/>
    </w:pPr>
    <w:tblPr>
      <w:tblStyleRowBandSize w:val="1"/>
      <w:tblStyleColBandSize w:val="1"/>
      <w:tblBorders>
        <w:right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a4a71" w:themeColor="accent1"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4f81bd" w:themeColor="accent1" w:sz="4" w:space="0"/>
        </w:tcBorders>
      </w:tcPr>
    </w:tblStylePr>
    <w:tblStylePr w:type="firstRow">
      <w:rPr>
        <w:rFonts w:ascii="Arial" w:hAnsi="Arial"/>
        <w:i/>
        <w:color w:val="2a4a71"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4f81bd" w:themeColor="accent1" w:sz="4" w:space="0"/>
          <w:right w:val="none" w:color="000000" w:sz="4" w:space="0"/>
        </w:tcBorders>
      </w:tcPr>
    </w:tblStylePr>
    <w:tblStylePr w:type="lastCol">
      <w:rPr>
        <w:rFonts w:ascii="Arial" w:hAnsi="Arial"/>
        <w:i/>
        <w:color w:val="2a4a71" w:themeColor="accent1" w:themeShade="95"/>
        <w:sz w:val="22"/>
      </w:rPr>
      <w:pPr>
        <w:pBdr/>
        <w:spacing/>
        <w:ind/>
      </w:pPr>
      <w:tblPr>
        <w:tblBorders/>
      </w:tblPr>
      <w:tcPr>
        <w:shd w:val="clear" w:color="ffffff" w:fill="auto"/>
        <w:tcBorders>
          <w:top w:val="none" w:color="000000" w:sz="4" w:space="0"/>
          <w:left w:val="single" w:color="4f81bd" w:themeColor="accent1" w:sz="4" w:space="0"/>
          <w:bottom w:val="none" w:color="000000" w:sz="4" w:space="0"/>
          <w:right w:val="none" w:color="000000" w:sz="4" w:space="0"/>
        </w:tcBorders>
      </w:tcPr>
    </w:tblStylePr>
    <w:tblStylePr w:type="lastRow">
      <w:rPr>
        <w:rFonts w:ascii="Arial" w:hAnsi="Arial"/>
        <w:i/>
        <w:color w:val="2a4a71" w:themeColor="accent1" w:themeShade="95"/>
        <w:sz w:val="22"/>
      </w:rPr>
      <w:pPr>
        <w:pBdr/>
        <w:spacing/>
        <w:ind/>
      </w:pPr>
      <w:tblPr>
        <w:tblBorders/>
      </w:tblPr>
      <w:tcPr>
        <w:shd w:val="clear" w:color="ffffff" w:themeColor="light1" w:fill="ffffff" w:themeFill="light1"/>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customStyle="1">
    <w:name w:val="List Table 7 Colorful - Accent 2"/>
    <w:basedOn w:val="800"/>
    <w:uiPriority w:val="99"/>
    <w:pPr>
      <w:pBdr/>
      <w:spacing w:after="0" w:line="240" w:lineRule="auto"/>
      <w:ind/>
    </w:pPr>
    <w:tblPr>
      <w:tblStyleRowBandSize w:val="1"/>
      <w:tblStyleColBandSize w:val="1"/>
      <w:tblBorders>
        <w:right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99695" w:themeColor="accent2" w:themeTint="97" w:sz="4" w:space="0"/>
        </w:tcBorders>
      </w:tcPr>
    </w:tblStylePr>
    <w:tblStylePr w:type="fir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d99695" w:themeColor="accent2" w:themeTint="97" w:sz="4" w:space="0"/>
          <w:right w:val="none" w:color="000000" w:sz="4"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4" w:space="0"/>
          <w:left w:val="single" w:color="d99695" w:themeColor="accent2" w:themeTint="97" w:sz="4" w:space="0"/>
          <w:bottom w:val="none" w:color="000000" w:sz="4" w:space="0"/>
          <w:right w:val="none" w:color="000000" w:sz="4" w:space="0"/>
        </w:tcBorders>
      </w:tcPr>
    </w:tblStylePr>
    <w:tblStylePr w:type="la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customStyle="1">
    <w:name w:val="List Table 7 Colorful - Accent 3"/>
    <w:basedOn w:val="800"/>
    <w:uiPriority w:val="99"/>
    <w:pPr>
      <w:pBdr/>
      <w:spacing w:after="0" w:line="240" w:lineRule="auto"/>
      <w:ind/>
    </w:pPr>
    <w:tblPr>
      <w:tblStyleRowBandSize w:val="1"/>
      <w:tblStyleColBandSize w:val="1"/>
      <w:tblBorders>
        <w:right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3d69b" w:themeColor="accent3"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c3d69b" w:themeColor="accent3" w:themeTint="98" w:sz="4" w:space="0"/>
        </w:tcBorders>
      </w:tcPr>
    </w:tblStylePr>
    <w:tblStylePr w:type="fir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c3d69b" w:themeColor="accent3" w:themeTint="98" w:sz="4" w:space="0"/>
          <w:right w:val="none" w:color="000000" w:sz="4" w:space="0"/>
        </w:tcBorders>
      </w:tcPr>
    </w:tblStylePr>
    <w:tblStylePr w:type="lastCol">
      <w:rPr>
        <w:rFonts w:ascii="Arial" w:hAnsi="Arial"/>
        <w:i/>
        <w:color w:val="c3d69b" w:themeColor="accent3" w:themeTint="98" w:themeShade="95"/>
        <w:sz w:val="22"/>
      </w:rPr>
      <w:pPr>
        <w:pBdr/>
        <w:spacing/>
        <w:ind/>
      </w:pPr>
      <w:tblPr>
        <w:tblBorders/>
      </w:tblPr>
      <w:tcPr>
        <w:shd w:val="clear" w:color="ffffff" w:fill="auto"/>
        <w:tcBorders>
          <w:top w:val="none" w:color="000000" w:sz="4" w:space="0"/>
          <w:left w:val="single" w:color="c3d69b" w:themeColor="accent3" w:themeTint="98" w:sz="4" w:space="0"/>
          <w:bottom w:val="none" w:color="000000" w:sz="4" w:space="0"/>
          <w:right w:val="none" w:color="000000" w:sz="4" w:space="0"/>
        </w:tcBorders>
      </w:tcPr>
    </w:tblStylePr>
    <w:tblStylePr w:type="la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single" w:color="c3d69b"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customStyle="1">
    <w:name w:val="List Table 7 Colorful - Accent 4"/>
    <w:basedOn w:val="800"/>
    <w:uiPriority w:val="99"/>
    <w:pPr>
      <w:pBdr/>
      <w:spacing w:after="0" w:line="240" w:lineRule="auto"/>
      <w:ind/>
    </w:pPr>
    <w:tblPr>
      <w:tblStyleRowBandSize w:val="1"/>
      <w:tblStyleColBandSize w:val="1"/>
      <w:tblBorders>
        <w:right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b2a1c6" w:themeColor="accent4" w:themeTint="9A" w:sz="4" w:space="0"/>
        </w:tcBorders>
      </w:tcPr>
    </w:tblStylePr>
    <w:tblStylePr w:type="fir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b2a1c6" w:themeColor="accent4" w:themeTint="9A" w:sz="4" w:space="0"/>
          <w:right w:val="none" w:color="000000" w:sz="4"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4" w:space="0"/>
          <w:left w:val="single" w:color="b2a1c6" w:themeColor="accent4" w:themeTint="9A" w:sz="4" w:space="0"/>
          <w:bottom w:val="none" w:color="000000" w:sz="4" w:space="0"/>
          <w:right w:val="none" w:color="000000" w:sz="4" w:space="0"/>
        </w:tcBorders>
      </w:tcPr>
    </w:tblStylePr>
    <w:tblStylePr w:type="la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customStyle="1">
    <w:name w:val="List Table 7 Colorful - Accent 5"/>
    <w:basedOn w:val="800"/>
    <w:uiPriority w:val="99"/>
    <w:pPr>
      <w:pBdr/>
      <w:spacing w:after="0" w:line="240" w:lineRule="auto"/>
      <w:ind/>
    </w:pPr>
    <w:tblPr>
      <w:tblStyleRowBandSize w:val="1"/>
      <w:tblStyleColBandSize w:val="1"/>
      <w:tblBorders>
        <w:right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2ccdc" w:themeColor="accent5"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2ccdc" w:themeColor="accent5" w:themeTint="9A" w:sz="4" w:space="0"/>
        </w:tcBorders>
      </w:tcPr>
    </w:tblStylePr>
    <w:tblStylePr w:type="fir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2ccdc" w:themeColor="accent5" w:themeTint="9A" w:sz="4" w:space="0"/>
          <w:right w:val="none" w:color="000000" w:sz="4" w:space="0"/>
        </w:tcBorders>
      </w:tcPr>
    </w:tblStylePr>
    <w:tblStylePr w:type="lastCol">
      <w:rPr>
        <w:rFonts w:ascii="Arial" w:hAnsi="Arial"/>
        <w:i/>
        <w:color w:val="92ccdc" w:themeColor="accent5" w:themeTint="9A" w:themeShade="95"/>
        <w:sz w:val="22"/>
      </w:rPr>
      <w:pPr>
        <w:pBdr/>
        <w:spacing/>
        <w:ind/>
      </w:pPr>
      <w:tblPr>
        <w:tblBorders/>
      </w:tblPr>
      <w:tcPr>
        <w:shd w:val="clear" w:color="ffffff" w:fill="auto"/>
        <w:tcBorders>
          <w:top w:val="none" w:color="000000" w:sz="4" w:space="0"/>
          <w:left w:val="single" w:color="92ccdc" w:themeColor="accent5" w:themeTint="9A" w:sz="4" w:space="0"/>
          <w:bottom w:val="none" w:color="000000" w:sz="4" w:space="0"/>
          <w:right w:val="none" w:color="000000" w:sz="4" w:space="0"/>
        </w:tcBorders>
      </w:tcPr>
    </w:tblStylePr>
    <w:tblStylePr w:type="la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single" w:color="92ccdc"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customStyle="1">
    <w:name w:val="List Table 7 Colorful - Accent 6"/>
    <w:basedOn w:val="800"/>
    <w:uiPriority w:val="99"/>
    <w:pPr>
      <w:pBdr/>
      <w:spacing w:after="0" w:line="240" w:lineRule="auto"/>
      <w:ind/>
    </w:pPr>
    <w:tblPr>
      <w:tblStyleRowBandSize w:val="1"/>
      <w:tblStyleColBandSize w:val="1"/>
      <w:tblBorders>
        <w:right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ac090" w:themeColor="accent6"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ac090" w:themeColor="accent6" w:themeTint="98" w:sz="4" w:space="0"/>
        </w:tcBorders>
      </w:tcPr>
    </w:tblStylePr>
    <w:tblStylePr w:type="fir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ac090" w:themeColor="accent6" w:themeTint="98" w:sz="4" w:space="0"/>
          <w:right w:val="none" w:color="000000" w:sz="4" w:space="0"/>
        </w:tcBorders>
      </w:tcPr>
    </w:tblStylePr>
    <w:tblStylePr w:type="lastCol">
      <w:rPr>
        <w:rFonts w:ascii="Arial" w:hAnsi="Arial"/>
        <w:i/>
        <w:color w:val="fac090" w:themeColor="accent6" w:themeTint="98" w:themeShade="95"/>
        <w:sz w:val="22"/>
      </w:rPr>
      <w:pPr>
        <w:pBdr/>
        <w:spacing/>
        <w:ind/>
      </w:pPr>
      <w:tblPr>
        <w:tblBorders/>
      </w:tblPr>
      <w:tcPr>
        <w:shd w:val="clear" w:color="ffffff" w:fill="auto"/>
        <w:tcBorders>
          <w:top w:val="none" w:color="000000" w:sz="4" w:space="0"/>
          <w:left w:val="single" w:color="fac090" w:themeColor="accent6" w:themeTint="98" w:sz="4" w:space="0"/>
          <w:bottom w:val="none" w:color="000000" w:sz="4" w:space="0"/>
          <w:right w:val="none" w:color="000000" w:sz="4" w:space="0"/>
        </w:tcBorders>
      </w:tcPr>
    </w:tblStylePr>
    <w:tblStylePr w:type="la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single" w:color="fac09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customStyle="1">
    <w:name w:val="Lined - Accent"/>
    <w:basedOn w:val="800"/>
    <w:uiPriority w:val="99"/>
    <w:pPr>
      <w:pBdr/>
      <w:spacing w:after="0" w:line="240" w:lineRule="auto"/>
      <w:ind/>
    </w:pPr>
    <w:rPr>
      <w:color w:val="404040"/>
      <w:sz w:val="20"/>
      <w:szCs w:val="20"/>
      <w:lang w:eastAsia="es-AR"/>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customStyle="1">
    <w:name w:val="Lined - Accent 1"/>
    <w:basedOn w:val="800"/>
    <w:uiPriority w:val="99"/>
    <w:pPr>
      <w:pBdr/>
      <w:spacing w:after="0" w:line="240" w:lineRule="auto"/>
      <w:ind/>
    </w:pPr>
    <w:rPr>
      <w:color w:val="404040"/>
      <w:sz w:val="20"/>
      <w:szCs w:val="20"/>
      <w:lang w:eastAsia="es-AR"/>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customStyle="1">
    <w:name w:val="Lined - Accent 2"/>
    <w:basedOn w:val="800"/>
    <w:uiPriority w:val="99"/>
    <w:pPr>
      <w:pBdr/>
      <w:spacing w:after="0" w:line="240" w:lineRule="auto"/>
      <w:ind/>
    </w:pPr>
    <w:rPr>
      <w:color w:val="404040"/>
      <w:sz w:val="20"/>
      <w:szCs w:val="20"/>
      <w:lang w:eastAsia="es-AR"/>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customStyle="1">
    <w:name w:val="Lined - Accent 3"/>
    <w:basedOn w:val="800"/>
    <w:uiPriority w:val="99"/>
    <w:pPr>
      <w:pBdr/>
      <w:spacing w:after="0" w:line="240" w:lineRule="auto"/>
      <w:ind/>
    </w:pPr>
    <w:rPr>
      <w:color w:val="404040"/>
      <w:sz w:val="20"/>
      <w:szCs w:val="20"/>
      <w:lang w:eastAsia="es-AR"/>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customStyle="1">
    <w:name w:val="Lined - Accent 4"/>
    <w:basedOn w:val="800"/>
    <w:uiPriority w:val="99"/>
    <w:pPr>
      <w:pBdr/>
      <w:spacing w:after="0" w:line="240" w:lineRule="auto"/>
      <w:ind/>
    </w:pPr>
    <w:rPr>
      <w:color w:val="404040"/>
      <w:sz w:val="20"/>
      <w:szCs w:val="20"/>
      <w:lang w:eastAsia="es-AR"/>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customStyle="1">
    <w:name w:val="Lined - Accent 5"/>
    <w:basedOn w:val="800"/>
    <w:uiPriority w:val="99"/>
    <w:pPr>
      <w:pBdr/>
      <w:spacing w:after="0" w:line="240" w:lineRule="auto"/>
      <w:ind/>
    </w:pPr>
    <w:rPr>
      <w:color w:val="404040"/>
      <w:sz w:val="20"/>
      <w:szCs w:val="20"/>
      <w:lang w:eastAsia="es-AR"/>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customStyle="1">
    <w:name w:val="Lined - Accent 6"/>
    <w:basedOn w:val="800"/>
    <w:uiPriority w:val="99"/>
    <w:pPr>
      <w:pBdr/>
      <w:spacing w:after="0" w:line="240" w:lineRule="auto"/>
      <w:ind/>
    </w:pPr>
    <w:rPr>
      <w:color w:val="404040"/>
      <w:sz w:val="20"/>
      <w:szCs w:val="20"/>
      <w:lang w:eastAsia="es-AR"/>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customStyle="1">
    <w:name w:val="Bordered &amp; Lined - Accent"/>
    <w:basedOn w:val="800"/>
    <w:uiPriority w:val="99"/>
    <w:pPr>
      <w:pBdr/>
      <w:spacing w:after="0" w:line="240" w:lineRule="auto"/>
      <w:ind/>
    </w:pPr>
    <w:rPr>
      <w:color w:val="404040"/>
      <w:sz w:val="20"/>
      <w:szCs w:val="20"/>
      <w:lang w:eastAsia="es-AR"/>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customStyle="1">
    <w:name w:val="Bordered &amp; Lined - Accent 1"/>
    <w:basedOn w:val="800"/>
    <w:uiPriority w:val="99"/>
    <w:pPr>
      <w:pBdr/>
      <w:spacing w:after="0" w:line="240" w:lineRule="auto"/>
      <w:ind/>
    </w:pPr>
    <w:rPr>
      <w:color w:val="404040"/>
      <w:sz w:val="20"/>
      <w:szCs w:val="20"/>
      <w:lang w:eastAsia="es-AR"/>
    </w:rPr>
    <w:tblPr>
      <w:tblStyleRowBandSize w:val="1"/>
      <w:tblStyleColBandSize w:val="1"/>
      <w:tblBorders>
        <w:top w:val="single" w:color="2a4a71" w:themeColor="accent1" w:themeShade="95" w:sz="4" w:space="0"/>
        <w:left w:val="single" w:color="2a4a71" w:themeColor="accent1" w:themeShade="95" w:sz="4" w:space="0"/>
        <w:bottom w:val="single" w:color="2a4a71" w:themeColor="accent1" w:themeShade="95" w:sz="4" w:space="0"/>
        <w:right w:val="single" w:color="2a4a71" w:themeColor="accent1" w:themeShade="95" w:sz="4" w:space="0"/>
        <w:insideH w:val="single" w:color="2a4a71" w:themeColor="accent1" w:themeShade="95" w:sz="4" w:space="0"/>
        <w:insideV w:val="single" w:color="2a4a71"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customStyle="1">
    <w:name w:val="Bordered &amp; Lined - Accent 2"/>
    <w:basedOn w:val="800"/>
    <w:uiPriority w:val="99"/>
    <w:pPr>
      <w:pBdr/>
      <w:spacing w:after="0" w:line="240" w:lineRule="auto"/>
      <w:ind/>
    </w:pPr>
    <w:rPr>
      <w:color w:val="404040"/>
      <w:sz w:val="20"/>
      <w:szCs w:val="20"/>
      <w:lang w:eastAsia="es-AR"/>
    </w:rPr>
    <w:tblPr>
      <w:tblStyleRowBandSize w:val="1"/>
      <w:tblStyleColBandSize w:val="1"/>
      <w:tblBorders>
        <w:top w:val="single" w:color="732a29" w:themeColor="accent2" w:themeShade="95" w:sz="4" w:space="0"/>
        <w:left w:val="single" w:color="732a29" w:themeColor="accent2" w:themeShade="95" w:sz="4" w:space="0"/>
        <w:bottom w:val="single" w:color="732a29" w:themeColor="accent2" w:themeShade="95" w:sz="4" w:space="0"/>
        <w:right w:val="single" w:color="732a29" w:themeColor="accent2" w:themeShade="95" w:sz="4" w:space="0"/>
        <w:insideH w:val="single" w:color="732a29" w:themeColor="accent2" w:themeShade="95" w:sz="4" w:space="0"/>
        <w:insideV w:val="single" w:color="732a29"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customStyle="1">
    <w:name w:val="Bordered &amp; Lined - Accent 3"/>
    <w:basedOn w:val="800"/>
    <w:uiPriority w:val="99"/>
    <w:pPr>
      <w:pBdr/>
      <w:spacing w:after="0" w:line="240" w:lineRule="auto"/>
      <w:ind/>
    </w:pPr>
    <w:rPr>
      <w:color w:val="404040"/>
      <w:sz w:val="20"/>
      <w:szCs w:val="20"/>
      <w:lang w:eastAsia="es-AR"/>
    </w:rPr>
    <w:tblPr>
      <w:tblStyleRowBandSize w:val="1"/>
      <w:tblStyleColBandSize w:val="1"/>
      <w:tblBorders>
        <w:top w:val="single" w:color="5b722e" w:themeColor="accent3" w:themeShade="95" w:sz="4" w:space="0"/>
        <w:left w:val="single" w:color="5b722e" w:themeColor="accent3" w:themeShade="95" w:sz="4" w:space="0"/>
        <w:bottom w:val="single" w:color="5b722e" w:themeColor="accent3" w:themeShade="95" w:sz="4" w:space="0"/>
        <w:right w:val="single" w:color="5b722e" w:themeColor="accent3" w:themeShade="95" w:sz="4" w:space="0"/>
        <w:insideH w:val="single" w:color="5b722e" w:themeColor="accent3" w:themeShade="95" w:sz="4" w:space="0"/>
        <w:insideV w:val="single" w:color="5b722e"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customStyle="1">
    <w:name w:val="Bordered &amp; Lined - Accent 4"/>
    <w:basedOn w:val="800"/>
    <w:uiPriority w:val="99"/>
    <w:pPr>
      <w:pBdr/>
      <w:spacing w:after="0" w:line="240" w:lineRule="auto"/>
      <w:ind/>
    </w:pPr>
    <w:rPr>
      <w:color w:val="404040"/>
      <w:sz w:val="20"/>
      <w:szCs w:val="20"/>
      <w:lang w:eastAsia="es-AR"/>
    </w:rPr>
    <w:tblPr>
      <w:tblStyleRowBandSize w:val="1"/>
      <w:tblStyleColBandSize w:val="1"/>
      <w:tblBorders>
        <w:top w:val="single" w:color="4a395f" w:themeColor="accent4" w:themeShade="95" w:sz="4" w:space="0"/>
        <w:left w:val="single" w:color="4a395f" w:themeColor="accent4" w:themeShade="95" w:sz="4" w:space="0"/>
        <w:bottom w:val="single" w:color="4a395f" w:themeColor="accent4" w:themeShade="95" w:sz="4" w:space="0"/>
        <w:right w:val="single" w:color="4a395f" w:themeColor="accent4" w:themeShade="95" w:sz="4" w:space="0"/>
        <w:insideH w:val="single" w:color="4a395f" w:themeColor="accent4" w:themeShade="95" w:sz="4" w:space="0"/>
        <w:insideV w:val="single" w:color="4a395f"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customStyle="1">
    <w:name w:val="Bordered &amp; Lined - Accent 5"/>
    <w:basedOn w:val="800"/>
    <w:uiPriority w:val="99"/>
    <w:pPr>
      <w:pBdr/>
      <w:spacing w:after="0" w:line="240" w:lineRule="auto"/>
      <w:ind/>
    </w:pPr>
    <w:rPr>
      <w:color w:val="404040"/>
      <w:sz w:val="20"/>
      <w:szCs w:val="20"/>
      <w:lang w:eastAsia="es-AR"/>
    </w:rPr>
    <w:tblPr>
      <w:tblStyleRowBandSize w:val="1"/>
      <w:tblStyleColBandSize w:val="1"/>
      <w:tblBorders>
        <w:top w:val="single" w:color="266779" w:themeColor="accent5" w:themeShade="95" w:sz="4" w:space="0"/>
        <w:left w:val="single" w:color="266779" w:themeColor="accent5" w:themeShade="95" w:sz="4" w:space="0"/>
        <w:bottom w:val="single" w:color="266779" w:themeColor="accent5" w:themeShade="95" w:sz="4" w:space="0"/>
        <w:right w:val="single" w:color="266779" w:themeColor="accent5" w:themeShade="95" w:sz="4" w:space="0"/>
        <w:insideH w:val="single" w:color="266779" w:themeColor="accent5" w:themeShade="95" w:sz="4" w:space="0"/>
        <w:insideV w:val="single" w:color="266779"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customStyle="1">
    <w:name w:val="Bordered &amp; Lined - Accent 6"/>
    <w:basedOn w:val="800"/>
    <w:uiPriority w:val="99"/>
    <w:pPr>
      <w:pBdr/>
      <w:spacing w:after="0" w:line="240" w:lineRule="auto"/>
      <w:ind/>
    </w:pPr>
    <w:rPr>
      <w:color w:val="404040"/>
      <w:sz w:val="20"/>
      <w:szCs w:val="20"/>
      <w:lang w:eastAsia="es-AR"/>
    </w:rPr>
    <w:tblPr>
      <w:tblStyleRowBandSize w:val="1"/>
      <w:tblStyleColBandSize w:val="1"/>
      <w:tblBorders>
        <w:top w:val="single" w:color="b15407" w:themeColor="accent6" w:themeShade="95" w:sz="4" w:space="0"/>
        <w:left w:val="single" w:color="b15407" w:themeColor="accent6" w:themeShade="95" w:sz="4" w:space="0"/>
        <w:bottom w:val="single" w:color="b15407" w:themeColor="accent6" w:themeShade="95" w:sz="4" w:space="0"/>
        <w:right w:val="single" w:color="b15407" w:themeColor="accent6" w:themeShade="95" w:sz="4" w:space="0"/>
        <w:insideH w:val="single" w:color="b15407" w:themeColor="accent6" w:themeShade="95" w:sz="4" w:space="0"/>
        <w:insideV w:val="single" w:color="b15407"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customStyle="1">
    <w:name w:val="Bordered"/>
    <w:basedOn w:val="800"/>
    <w:uiPriority w:val="99"/>
    <w:pPr>
      <w:pBdr/>
      <w:spacing w:after="0" w:line="240" w:lineRule="auto"/>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customStyle="1">
    <w:name w:val="Bordered - Accent 1"/>
    <w:basedOn w:val="800"/>
    <w:uiPriority w:val="99"/>
    <w:pPr>
      <w:pBdr/>
      <w:spacing w:after="0" w:line="240" w:lineRule="auto"/>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f81bd" w:themeColor="accent1" w:sz="12" w:space="0"/>
        </w:tcBorders>
      </w:tcPr>
    </w:tblStylePr>
    <w:tblStylePr w:type="lastCol">
      <w:rPr>
        <w:rFonts w:ascii="Arial" w:hAnsi="Arial"/>
        <w:color w:val="404040"/>
        <w:sz w:val="22"/>
      </w:rPr>
      <w:pPr>
        <w:pBdr/>
        <w:spacing/>
        <w:ind/>
      </w:pPr>
      <w:tblPr>
        <w:tblBorders/>
      </w:tblPr>
      <w:tcPr>
        <w:tcBorders>
          <w:left w:val="single" w:color="4f81bd" w:themeColor="accent1" w:sz="12" w:space="0"/>
        </w:tcBorders>
      </w:tcPr>
    </w:tblStylePr>
    <w:tblStylePr w:type="lastRow">
      <w:rPr>
        <w:rFonts w:ascii="Arial" w:hAnsi="Arial"/>
        <w:color w:val="404040"/>
        <w:sz w:val="22"/>
      </w:rPr>
      <w:pPr>
        <w:pBdr/>
        <w:spacing/>
        <w:ind/>
      </w:pPr>
      <w:tblPr>
        <w:tblBorders/>
      </w:tblPr>
      <w:tcPr>
        <w:tcBorders>
          <w:top w:val="single" w:color="4f81bd"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customStyle="1">
    <w:name w:val="Bordered - Accent 2"/>
    <w:basedOn w:val="800"/>
    <w:uiPriority w:val="99"/>
    <w:pPr>
      <w:pBdr/>
      <w:spacing w:after="0" w:line="240" w:lineRule="auto"/>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d99695" w:themeColor="accent2" w:themeTint="97" w:sz="12" w:space="0"/>
        </w:tcBorders>
      </w:tcPr>
    </w:tblStylePr>
    <w:tblStylePr w:type="lastCol">
      <w:rPr>
        <w:rFonts w:ascii="Arial" w:hAnsi="Arial"/>
        <w:color w:val="404040"/>
        <w:sz w:val="22"/>
      </w:rPr>
      <w:pPr>
        <w:pBdr/>
        <w:spacing/>
        <w:ind/>
      </w:pPr>
      <w:tblPr>
        <w:tblBorders/>
      </w:tblPr>
      <w:tcPr>
        <w:tcBorders>
          <w:left w:val="single" w:color="d99695" w:themeColor="accent2" w:themeTint="97" w:sz="12" w:space="0"/>
        </w:tcBorders>
      </w:tcPr>
    </w:tblStylePr>
    <w:tblStylePr w:type="lastRow">
      <w:rPr>
        <w:rFonts w:ascii="Arial" w:hAnsi="Arial"/>
        <w:color w:val="404040"/>
        <w:sz w:val="22"/>
      </w:rPr>
      <w:pPr>
        <w:pBdr/>
        <w:spacing/>
        <w:ind/>
      </w:pPr>
      <w:tblPr>
        <w:tblBorders/>
      </w:tblPr>
      <w:tcPr>
        <w:tcBorders>
          <w:top w:val="single" w:color="d99695"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customStyle="1">
    <w:name w:val="Bordered - Accent 3"/>
    <w:basedOn w:val="800"/>
    <w:uiPriority w:val="99"/>
    <w:pPr>
      <w:pBdr/>
      <w:spacing w:after="0" w:line="240" w:lineRule="auto"/>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3d69b" w:themeColor="accent3" w:themeTint="98" w:sz="12" w:space="0"/>
        </w:tcBorders>
      </w:tcPr>
    </w:tblStylePr>
    <w:tblStylePr w:type="lastCol">
      <w:rPr>
        <w:rFonts w:ascii="Arial" w:hAnsi="Arial"/>
        <w:color w:val="404040"/>
        <w:sz w:val="22"/>
      </w:rPr>
      <w:pPr>
        <w:pBdr/>
        <w:spacing/>
        <w:ind/>
      </w:pPr>
      <w:tblPr>
        <w:tblBorders/>
      </w:tblPr>
      <w:tcPr>
        <w:tcBorders>
          <w:left w:val="single" w:color="c3d69b" w:themeColor="accent3" w:themeTint="98" w:sz="12" w:space="0"/>
        </w:tcBorders>
      </w:tcPr>
    </w:tblStylePr>
    <w:tblStylePr w:type="lastRow">
      <w:rPr>
        <w:rFonts w:ascii="Arial" w:hAnsi="Arial"/>
        <w:color w:val="404040"/>
        <w:sz w:val="22"/>
      </w:rPr>
      <w:pPr>
        <w:pBdr/>
        <w:spacing/>
        <w:ind/>
      </w:pPr>
      <w:tblPr>
        <w:tblBorders/>
      </w:tblPr>
      <w:tcPr>
        <w:tcBorders>
          <w:top w:val="single" w:color="c3d69b"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customStyle="1">
    <w:name w:val="Bordered - Accent 4"/>
    <w:basedOn w:val="800"/>
    <w:uiPriority w:val="99"/>
    <w:pPr>
      <w:pBdr/>
      <w:spacing w:after="0" w:line="240" w:lineRule="auto"/>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b2a1c6" w:themeColor="accent4" w:themeTint="9A" w:sz="12" w:space="0"/>
        </w:tcBorders>
      </w:tcPr>
    </w:tblStylePr>
    <w:tblStylePr w:type="lastCol">
      <w:rPr>
        <w:rFonts w:ascii="Arial" w:hAnsi="Arial"/>
        <w:color w:val="404040"/>
        <w:sz w:val="22"/>
      </w:rPr>
      <w:pPr>
        <w:pBdr/>
        <w:spacing/>
        <w:ind/>
      </w:pPr>
      <w:tblPr>
        <w:tblBorders/>
      </w:tblPr>
      <w:tcPr>
        <w:tcBorders>
          <w:left w:val="single" w:color="b2a1c6" w:themeColor="accent4" w:themeTint="9A" w:sz="12" w:space="0"/>
        </w:tcBorders>
      </w:tcPr>
    </w:tblStylePr>
    <w:tblStylePr w:type="lastRow">
      <w:rPr>
        <w:rFonts w:ascii="Arial" w:hAnsi="Arial"/>
        <w:color w:val="404040"/>
        <w:sz w:val="22"/>
      </w:rPr>
      <w:pPr>
        <w:pBdr/>
        <w:spacing/>
        <w:ind/>
      </w:pPr>
      <w:tblPr>
        <w:tblBorders/>
      </w:tblPr>
      <w:tcPr>
        <w:tcBorders>
          <w:top w:val="single" w:color="b2a1c6"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customStyle="1">
    <w:name w:val="Bordered - Accent 5"/>
    <w:basedOn w:val="800"/>
    <w:uiPriority w:val="99"/>
    <w:pPr>
      <w:pBdr/>
      <w:spacing w:after="0" w:line="240" w:lineRule="auto"/>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92ccdc" w:themeColor="accent5" w:themeTint="9A" w:sz="12" w:space="0"/>
        </w:tcBorders>
      </w:tcPr>
    </w:tblStylePr>
    <w:tblStylePr w:type="lastCol">
      <w:rPr>
        <w:rFonts w:ascii="Arial" w:hAnsi="Arial"/>
        <w:color w:val="404040"/>
        <w:sz w:val="22"/>
      </w:rPr>
      <w:pPr>
        <w:pBdr/>
        <w:spacing/>
        <w:ind/>
      </w:pPr>
      <w:tblPr>
        <w:tblBorders/>
      </w:tblPr>
      <w:tcPr>
        <w:tcBorders>
          <w:left w:val="single" w:color="92ccdc" w:themeColor="accent5" w:themeTint="9A" w:sz="12" w:space="0"/>
        </w:tcBorders>
      </w:tcPr>
    </w:tblStylePr>
    <w:tblStylePr w:type="lastRow">
      <w:rPr>
        <w:rFonts w:ascii="Arial" w:hAnsi="Arial"/>
        <w:color w:val="404040"/>
        <w:sz w:val="22"/>
      </w:rPr>
      <w:pPr>
        <w:pBdr/>
        <w:spacing/>
        <w:ind/>
      </w:pPr>
      <w:tblPr>
        <w:tblBorders/>
      </w:tblPr>
      <w:tcPr>
        <w:tcBorders>
          <w:top w:val="single" w:color="92ccdc"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customStyle="1">
    <w:name w:val="Bordered - Accent 6"/>
    <w:basedOn w:val="800"/>
    <w:uiPriority w:val="99"/>
    <w:pPr>
      <w:pBdr/>
      <w:spacing w:after="0" w:line="240" w:lineRule="auto"/>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ac090" w:themeColor="accent6" w:themeTint="98" w:sz="12" w:space="0"/>
        </w:tcBorders>
      </w:tcPr>
    </w:tblStylePr>
    <w:tblStylePr w:type="lastCol">
      <w:rPr>
        <w:rFonts w:ascii="Arial" w:hAnsi="Arial"/>
        <w:color w:val="404040"/>
        <w:sz w:val="22"/>
      </w:rPr>
      <w:pPr>
        <w:pBdr/>
        <w:spacing/>
        <w:ind/>
      </w:pPr>
      <w:tblPr>
        <w:tblBorders/>
      </w:tblPr>
      <w:tcPr>
        <w:tcBorders>
          <w:left w:val="single" w:color="fac090" w:themeColor="accent6" w:themeTint="98" w:sz="12" w:space="0"/>
        </w:tcBorders>
      </w:tcPr>
    </w:tblStylePr>
    <w:tblStylePr w:type="lastRow">
      <w:rPr>
        <w:rFonts w:ascii="Arial" w:hAnsi="Arial"/>
        <w:color w:val="404040"/>
        <w:sz w:val="22"/>
      </w:rPr>
      <w:pPr>
        <w:pBdr/>
        <w:spacing/>
        <w:ind/>
      </w:pPr>
      <w:tblPr>
        <w:tblBorders/>
      </w:tblPr>
      <w:tcPr>
        <w:tcBorders>
          <w:top w:val="single" w:color="fac09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45">
    <w:name w:val="footnote text"/>
    <w:basedOn w:val="789"/>
    <w:link w:val="946"/>
    <w:uiPriority w:val="99"/>
    <w:semiHidden/>
    <w:unhideWhenUsed/>
    <w:pPr>
      <w:pBdr/>
      <w:spacing w:after="40" w:line="240" w:lineRule="auto"/>
      <w:ind/>
    </w:pPr>
    <w:rPr>
      <w:sz w:val="18"/>
    </w:rPr>
  </w:style>
  <w:style w:type="character" w:styleId="946" w:customStyle="1">
    <w:name w:val="Texto nota pie Car"/>
    <w:link w:val="945"/>
    <w:uiPriority w:val="99"/>
    <w:pPr>
      <w:pBdr/>
      <w:spacing/>
      <w:ind/>
    </w:pPr>
    <w:rPr>
      <w:sz w:val="18"/>
    </w:rPr>
  </w:style>
  <w:style w:type="character" w:styleId="947">
    <w:name w:val="footnote reference"/>
    <w:basedOn w:val="799"/>
    <w:uiPriority w:val="99"/>
    <w:unhideWhenUsed/>
    <w:pPr>
      <w:pBdr/>
      <w:spacing/>
      <w:ind/>
    </w:pPr>
    <w:rPr>
      <w:vertAlign w:val="superscript"/>
    </w:rPr>
  </w:style>
  <w:style w:type="paragraph" w:styleId="948">
    <w:name w:val="endnote text"/>
    <w:basedOn w:val="789"/>
    <w:link w:val="949"/>
    <w:uiPriority w:val="99"/>
    <w:semiHidden/>
    <w:unhideWhenUsed/>
    <w:pPr>
      <w:pBdr/>
      <w:spacing w:after="0" w:line="240" w:lineRule="auto"/>
      <w:ind/>
    </w:pPr>
    <w:rPr>
      <w:sz w:val="20"/>
    </w:rPr>
  </w:style>
  <w:style w:type="character" w:styleId="949" w:customStyle="1">
    <w:name w:val="Texto nota al final Car"/>
    <w:link w:val="948"/>
    <w:uiPriority w:val="99"/>
    <w:pPr>
      <w:pBdr/>
      <w:spacing/>
      <w:ind/>
    </w:pPr>
    <w:rPr>
      <w:sz w:val="20"/>
    </w:rPr>
  </w:style>
  <w:style w:type="character" w:styleId="950">
    <w:name w:val="endnote reference"/>
    <w:basedOn w:val="799"/>
    <w:uiPriority w:val="99"/>
    <w:semiHidden/>
    <w:unhideWhenUsed/>
    <w:pPr>
      <w:pBdr/>
      <w:spacing/>
      <w:ind/>
    </w:pPr>
    <w:rPr>
      <w:vertAlign w:val="superscript"/>
    </w:rPr>
  </w:style>
  <w:style w:type="paragraph" w:styleId="951">
    <w:name w:val="toc 1"/>
    <w:basedOn w:val="789"/>
    <w:next w:val="789"/>
    <w:uiPriority w:val="39"/>
    <w:unhideWhenUsed/>
    <w:pPr>
      <w:pBdr/>
      <w:spacing w:after="57"/>
      <w:ind/>
    </w:pPr>
  </w:style>
  <w:style w:type="paragraph" w:styleId="952">
    <w:name w:val="toc 2"/>
    <w:basedOn w:val="789"/>
    <w:next w:val="789"/>
    <w:uiPriority w:val="39"/>
    <w:unhideWhenUsed/>
    <w:pPr>
      <w:pBdr/>
      <w:spacing w:after="57"/>
      <w:ind w:left="283"/>
    </w:pPr>
  </w:style>
  <w:style w:type="paragraph" w:styleId="953">
    <w:name w:val="toc 3"/>
    <w:basedOn w:val="789"/>
    <w:next w:val="789"/>
    <w:uiPriority w:val="39"/>
    <w:unhideWhenUsed/>
    <w:pPr>
      <w:pBdr/>
      <w:spacing w:after="57"/>
      <w:ind w:left="567"/>
    </w:pPr>
  </w:style>
  <w:style w:type="paragraph" w:styleId="954">
    <w:name w:val="toc 4"/>
    <w:basedOn w:val="789"/>
    <w:next w:val="789"/>
    <w:uiPriority w:val="39"/>
    <w:unhideWhenUsed/>
    <w:pPr>
      <w:pBdr/>
      <w:spacing w:after="57"/>
      <w:ind w:left="850"/>
    </w:pPr>
  </w:style>
  <w:style w:type="paragraph" w:styleId="955">
    <w:name w:val="toc 5"/>
    <w:basedOn w:val="789"/>
    <w:next w:val="789"/>
    <w:uiPriority w:val="39"/>
    <w:unhideWhenUsed/>
    <w:pPr>
      <w:pBdr/>
      <w:spacing w:after="57"/>
      <w:ind w:left="1134"/>
    </w:pPr>
  </w:style>
  <w:style w:type="paragraph" w:styleId="956">
    <w:name w:val="toc 6"/>
    <w:basedOn w:val="789"/>
    <w:next w:val="789"/>
    <w:uiPriority w:val="39"/>
    <w:unhideWhenUsed/>
    <w:pPr>
      <w:pBdr/>
      <w:spacing w:after="57"/>
      <w:ind w:left="1417"/>
    </w:pPr>
  </w:style>
  <w:style w:type="paragraph" w:styleId="957">
    <w:name w:val="toc 7"/>
    <w:basedOn w:val="789"/>
    <w:next w:val="789"/>
    <w:uiPriority w:val="39"/>
    <w:unhideWhenUsed/>
    <w:pPr>
      <w:pBdr/>
      <w:spacing w:after="57"/>
      <w:ind w:left="1701"/>
    </w:pPr>
  </w:style>
  <w:style w:type="paragraph" w:styleId="958">
    <w:name w:val="toc 8"/>
    <w:basedOn w:val="789"/>
    <w:next w:val="789"/>
    <w:uiPriority w:val="39"/>
    <w:unhideWhenUsed/>
    <w:pPr>
      <w:pBdr/>
      <w:spacing w:after="57"/>
      <w:ind w:left="1984"/>
    </w:pPr>
  </w:style>
  <w:style w:type="paragraph" w:styleId="959">
    <w:name w:val="toc 9"/>
    <w:basedOn w:val="789"/>
    <w:next w:val="789"/>
    <w:uiPriority w:val="39"/>
    <w:unhideWhenUsed/>
    <w:pPr>
      <w:pBdr/>
      <w:spacing w:after="57"/>
      <w:ind w:left="2268"/>
    </w:pPr>
  </w:style>
  <w:style w:type="paragraph" w:styleId="960">
    <w:name w:val="TOC Heading"/>
    <w:uiPriority w:val="39"/>
    <w:unhideWhenUsed/>
    <w:pPr>
      <w:pBdr/>
      <w:spacing/>
      <w:ind/>
    </w:pPr>
  </w:style>
  <w:style w:type="paragraph" w:styleId="961">
    <w:name w:val="table of figures"/>
    <w:basedOn w:val="789"/>
    <w:next w:val="789"/>
    <w:uiPriority w:val="99"/>
    <w:unhideWhenUsed/>
    <w:pPr>
      <w:pBdr/>
      <w:spacing w:after="0"/>
      <w:ind/>
    </w:pPr>
  </w:style>
  <w:style w:type="paragraph" w:styleId="962">
    <w:name w:val="Header"/>
    <w:basedOn w:val="789"/>
    <w:link w:val="963"/>
    <w:uiPriority w:val="99"/>
    <w:unhideWhenUsed/>
    <w:pPr>
      <w:pBdr/>
      <w:tabs>
        <w:tab w:val="center" w:leader="none" w:pos="4419"/>
        <w:tab w:val="right" w:leader="none" w:pos="8838"/>
      </w:tabs>
      <w:spacing w:after="0" w:line="240" w:lineRule="auto"/>
      <w:ind/>
    </w:pPr>
  </w:style>
  <w:style w:type="character" w:styleId="963" w:customStyle="1">
    <w:name w:val="Encabezado Car"/>
    <w:basedOn w:val="799"/>
    <w:link w:val="962"/>
    <w:uiPriority w:val="99"/>
    <w:pPr>
      <w:pBdr/>
      <w:spacing/>
      <w:ind/>
    </w:pPr>
  </w:style>
  <w:style w:type="paragraph" w:styleId="964">
    <w:name w:val="Footer"/>
    <w:basedOn w:val="789"/>
    <w:link w:val="965"/>
    <w:uiPriority w:val="99"/>
    <w:unhideWhenUsed/>
    <w:pPr>
      <w:pBdr/>
      <w:tabs>
        <w:tab w:val="center" w:leader="none" w:pos="4419"/>
        <w:tab w:val="right" w:leader="none" w:pos="8838"/>
      </w:tabs>
      <w:spacing w:after="0" w:line="240" w:lineRule="auto"/>
      <w:ind/>
    </w:pPr>
  </w:style>
  <w:style w:type="character" w:styleId="965" w:customStyle="1">
    <w:name w:val="Pie de página Car"/>
    <w:basedOn w:val="799"/>
    <w:link w:val="964"/>
    <w:uiPriority w:val="99"/>
    <w:pPr>
      <w:pBdr/>
      <w:spacing/>
      <w:ind/>
    </w:pPr>
  </w:style>
  <w:style w:type="paragraph" w:styleId="966">
    <w:name w:val="Balloon Text"/>
    <w:basedOn w:val="789"/>
    <w:link w:val="967"/>
    <w:uiPriority w:val="99"/>
    <w:semiHidden/>
    <w:unhideWhenUsed/>
    <w:pPr>
      <w:pBdr/>
      <w:spacing w:after="0" w:line="240" w:lineRule="auto"/>
      <w:ind/>
    </w:pPr>
    <w:rPr>
      <w:rFonts w:ascii="Tahoma" w:hAnsi="Tahoma" w:cs="Tahoma"/>
      <w:sz w:val="16"/>
      <w:szCs w:val="16"/>
    </w:rPr>
  </w:style>
  <w:style w:type="character" w:styleId="967" w:customStyle="1">
    <w:name w:val="Texto de globo Car"/>
    <w:basedOn w:val="799"/>
    <w:link w:val="966"/>
    <w:uiPriority w:val="99"/>
    <w:semiHidden/>
    <w:pPr>
      <w:pBdr/>
      <w:spacing/>
      <w:ind/>
    </w:pPr>
    <w:rPr>
      <w:rFonts w:ascii="Tahoma" w:hAnsi="Tahoma" w:cs="Tahoma"/>
      <w:sz w:val="16"/>
      <w:szCs w:val="16"/>
    </w:rPr>
  </w:style>
  <w:style w:type="character" w:styleId="968">
    <w:name w:val="Hyperlink"/>
    <w:basedOn w:val="799"/>
    <w:uiPriority w:val="99"/>
    <w:unhideWhenUsed/>
    <w:pPr>
      <w:pBdr/>
      <w:spacing/>
      <w:ind/>
    </w:pPr>
    <w:rPr>
      <w:color w:val="0000ff" w:themeColor="hyperlink"/>
      <w:u w:val="single"/>
    </w:rPr>
  </w:style>
  <w:style w:type="paragraph" w:styleId="969">
    <w:name w:val="No Spacing"/>
    <w:uiPriority w:val="1"/>
    <w:qFormat/>
    <w:pPr>
      <w:pBdr/>
      <w:spacing w:after="0" w:line="240" w:lineRule="auto"/>
      <w:ind/>
    </w:pPr>
    <w:rPr>
      <w:rFonts w:ascii="Manrope" w:hAnsi="Manrope"/>
    </w:rPr>
  </w:style>
  <w:style w:type="paragraph" w:styleId="970">
    <w:name w:val="List Paragraph"/>
    <w:basedOn w:val="789"/>
    <w:uiPriority w:val="34"/>
    <w:qFormat/>
    <w:pPr>
      <w:pBdr/>
      <w:spacing/>
      <w:ind w:left="720"/>
      <w:contextualSpacing w:val="true"/>
    </w:pPr>
    <w:rPr>
      <w:szCs w:val="22"/>
    </w:rPr>
  </w:style>
  <w:style w:type="character" w:styleId="971" w:customStyle="1">
    <w:name w:val="Título 4 Car"/>
    <w:basedOn w:val="799"/>
    <w:link w:val="793"/>
    <w:uiPriority w:val="9"/>
    <w:pPr>
      <w:pBdr/>
      <w:spacing/>
      <w:ind/>
    </w:pPr>
    <w:rPr>
      <w:rFonts w:ascii="Manrope" w:hAnsi="Manrope" w:eastAsia="Calibri" w:cs="Calibri"/>
      <w:b/>
      <w:sz w:val="24"/>
      <w:lang w:val="es-ES" w:eastAsia="es-AR"/>
    </w:rPr>
  </w:style>
  <w:style w:type="character" w:styleId="972" w:customStyle="1">
    <w:name w:val="Título 1 Car"/>
    <w:basedOn w:val="799"/>
    <w:link w:val="790"/>
    <w:uiPriority w:val="9"/>
    <w:pPr>
      <w:pBdr/>
      <w:spacing/>
      <w:ind/>
    </w:pPr>
    <w:rPr>
      <w:rFonts w:ascii="Manrope" w:hAnsi="Manrope" w:eastAsiaTheme="majorEastAsia" w:cstheme="majorBidi"/>
      <w:b/>
      <w:bCs/>
      <w:color w:val="2b3e4c"/>
      <w:sz w:val="28"/>
      <w:szCs w:val="28"/>
    </w:rPr>
  </w:style>
  <w:style w:type="paragraph" w:styleId="973" w:customStyle="1">
    <w:name w:val="Estilo1"/>
    <w:basedOn w:val="789"/>
    <w:link w:val="974"/>
    <w:qFormat/>
    <w:pPr>
      <w:widowControl w:val="false"/>
      <w:pBdr/>
      <w:spacing w:after="0" w:line="360" w:lineRule="auto"/>
      <w:ind/>
      <w:jc w:val="both"/>
    </w:pPr>
    <w:rPr>
      <w:rFonts w:eastAsia="Tahoma" w:cs="Tahoma"/>
      <w:lang w:val="es-ES"/>
    </w:rPr>
  </w:style>
  <w:style w:type="character" w:styleId="974" w:customStyle="1">
    <w:name w:val="Estilo1 Car"/>
    <w:basedOn w:val="799"/>
    <w:link w:val="973"/>
    <w:pPr>
      <w:pBdr/>
      <w:spacing/>
      <w:ind/>
    </w:pPr>
    <w:rPr>
      <w:rFonts w:ascii="Manrope" w:hAnsi="Manrope" w:eastAsia="Tahoma" w:cs="Tahoma"/>
      <w:lang w:val="es-ES"/>
    </w:rPr>
  </w:style>
  <w:style w:type="character" w:styleId="975" w:customStyle="1">
    <w:name w:val="Título 2 Car"/>
    <w:basedOn w:val="799"/>
    <w:link w:val="791"/>
    <w:uiPriority w:val="9"/>
    <w:semiHidden/>
    <w:pPr>
      <w:pBdr/>
      <w:spacing/>
      <w:ind/>
    </w:pPr>
    <w:rPr>
      <w:rFonts w:ascii="Manrope" w:hAnsi="Manrope" w:eastAsiaTheme="majorEastAsia" w:cstheme="majorBidi"/>
      <w:color w:val="2b3e4c"/>
      <w:sz w:val="26"/>
      <w:szCs w:val="26"/>
    </w:rPr>
  </w:style>
  <w:style w:type="character" w:styleId="976" w:customStyle="1">
    <w:name w:val="Título 5 Car"/>
    <w:basedOn w:val="799"/>
    <w:link w:val="794"/>
    <w:uiPriority w:val="9"/>
    <w:semiHidden/>
    <w:pPr>
      <w:pBdr/>
      <w:spacing/>
      <w:ind/>
    </w:pPr>
    <w:rPr>
      <w:rFonts w:ascii="Manrope" w:hAnsi="Manrope" w:eastAsiaTheme="majorEastAsia" w:cstheme="majorBidi"/>
      <w:color w:val="2b3e4c"/>
      <w:sz w:val="24"/>
    </w:rPr>
  </w:style>
  <w:style w:type="paragraph" w:styleId="977">
    <w:name w:val="Title"/>
    <w:basedOn w:val="789"/>
    <w:next w:val="789"/>
    <w:link w:val="978"/>
    <w:uiPriority w:val="10"/>
    <w:qFormat/>
    <w:pPr>
      <w:pBdr/>
      <w:spacing w:after="0" w:line="240" w:lineRule="auto"/>
      <w:ind/>
      <w:contextualSpacing w:val="true"/>
    </w:pPr>
    <w:rPr>
      <w:rFonts w:eastAsiaTheme="majorEastAsia" w:cstheme="majorBidi"/>
      <w:spacing w:val="-10"/>
      <w:sz w:val="56"/>
      <w:szCs w:val="56"/>
    </w:rPr>
  </w:style>
  <w:style w:type="character" w:styleId="978" w:customStyle="1">
    <w:name w:val="Título Car"/>
    <w:basedOn w:val="799"/>
    <w:link w:val="977"/>
    <w:uiPriority w:val="10"/>
    <w:pPr>
      <w:pBdr/>
      <w:spacing/>
      <w:ind/>
    </w:pPr>
    <w:rPr>
      <w:rFonts w:ascii="Manrope" w:hAnsi="Manrope" w:eastAsiaTheme="majorEastAsia" w:cstheme="majorBidi"/>
      <w:spacing w:val="-10"/>
      <w:sz w:val="56"/>
      <w:szCs w:val="56"/>
    </w:rPr>
  </w:style>
  <w:style w:type="paragraph" w:styleId="979">
    <w:name w:val="Subtitle"/>
    <w:basedOn w:val="789"/>
    <w:next w:val="789"/>
    <w:link w:val="980"/>
    <w:uiPriority w:val="11"/>
    <w:qFormat/>
    <w:pPr>
      <w:numPr>
        <w:ilvl w:val="1"/>
      </w:numPr>
      <w:pBdr/>
      <w:spacing w:after="160"/>
      <w:ind/>
    </w:pPr>
    <w:rPr>
      <w:rFonts w:eastAsiaTheme="minorEastAsia"/>
      <w:color w:val="5a5a5a" w:themeColor="text1" w:themeTint="A5"/>
      <w:spacing w:val="15"/>
      <w:szCs w:val="22"/>
    </w:rPr>
  </w:style>
  <w:style w:type="character" w:styleId="980" w:customStyle="1">
    <w:name w:val="Subtítulo Car"/>
    <w:basedOn w:val="799"/>
    <w:link w:val="979"/>
    <w:uiPriority w:val="11"/>
    <w:pPr>
      <w:pBdr/>
      <w:spacing/>
      <w:ind/>
    </w:pPr>
    <w:rPr>
      <w:rFonts w:ascii="Manrope" w:hAnsi="Manrope" w:eastAsiaTheme="minorEastAsia"/>
      <w:color w:val="5a5a5a" w:themeColor="text1" w:themeTint="A5"/>
      <w:spacing w:val="15"/>
      <w:szCs w:val="22"/>
    </w:rPr>
  </w:style>
  <w:style w:type="character" w:styleId="981">
    <w:name w:val="Subtle Emphasis"/>
    <w:basedOn w:val="799"/>
    <w:uiPriority w:val="19"/>
    <w:qFormat/>
    <w:pPr>
      <w:pBdr/>
      <w:spacing/>
      <w:ind/>
    </w:pPr>
    <w:rPr>
      <w:rFonts w:ascii="Manrope" w:hAnsi="Manrope"/>
      <w:i/>
      <w:iCs/>
      <w:color w:val="2b3e4c"/>
    </w:rPr>
  </w:style>
  <w:style w:type="character" w:styleId="982">
    <w:name w:val="Intense Emphasis"/>
    <w:basedOn w:val="799"/>
    <w:uiPriority w:val="21"/>
    <w:qFormat/>
    <w:pPr>
      <w:pBdr/>
      <w:spacing/>
      <w:ind/>
    </w:pPr>
    <w:rPr>
      <w:rFonts w:ascii="Manrope" w:hAnsi="Manrope"/>
      <w:i/>
      <w:iCs/>
      <w:color w:val="2b3e4c"/>
    </w:rPr>
  </w:style>
  <w:style w:type="character" w:styleId="983">
    <w:name w:val="Strong"/>
    <w:basedOn w:val="799"/>
    <w:uiPriority w:val="22"/>
    <w:qFormat/>
    <w:pPr>
      <w:pBdr/>
      <w:spacing/>
      <w:ind/>
    </w:pPr>
    <w:rPr>
      <w:rFonts w:ascii="Manrope" w:hAnsi="Manrope"/>
      <w:b/>
      <w:bCs/>
      <w:i w:val="0"/>
    </w:rPr>
  </w:style>
  <w:style w:type="paragraph" w:styleId="984">
    <w:name w:val="Quote"/>
    <w:basedOn w:val="789"/>
    <w:next w:val="789"/>
    <w:link w:val="985"/>
    <w:uiPriority w:val="29"/>
    <w:qFormat/>
    <w:pPr>
      <w:pBdr/>
      <w:spacing w:after="160" w:before="200"/>
      <w:ind w:right="864" w:left="864"/>
      <w:jc w:val="center"/>
    </w:pPr>
    <w:rPr>
      <w:i/>
      <w:iCs/>
      <w:color w:val="404040" w:themeColor="text1" w:themeTint="BF"/>
    </w:rPr>
  </w:style>
  <w:style w:type="character" w:styleId="985" w:customStyle="1">
    <w:name w:val="Cita Car"/>
    <w:basedOn w:val="799"/>
    <w:link w:val="984"/>
    <w:uiPriority w:val="29"/>
    <w:pPr>
      <w:pBdr/>
      <w:spacing/>
      <w:ind/>
    </w:pPr>
    <w:rPr>
      <w:rFonts w:ascii="Manrope" w:hAnsi="Manrope"/>
      <w:i/>
      <w:iCs/>
      <w:color w:val="404040" w:themeColor="text1" w:themeTint="BF"/>
    </w:rPr>
  </w:style>
  <w:style w:type="paragraph" w:styleId="986">
    <w:name w:val="Intense Quote"/>
    <w:basedOn w:val="789"/>
    <w:next w:val="789"/>
    <w:link w:val="987"/>
    <w:uiPriority w:val="30"/>
    <w:qFormat/>
    <w:pPr>
      <w:pBdr>
        <w:top w:val="single" w:color="4f81bd" w:themeColor="accent1" w:sz="4" w:space="10"/>
        <w:bottom w:val="single" w:color="4f81bd" w:themeColor="accent1" w:sz="4" w:space="10"/>
      </w:pBdr>
      <w:spacing w:after="360" w:before="360"/>
      <w:ind w:right="864" w:left="864"/>
      <w:jc w:val="center"/>
    </w:pPr>
    <w:rPr>
      <w:i/>
      <w:iCs/>
      <w:color w:val="87b867"/>
    </w:rPr>
  </w:style>
  <w:style w:type="character" w:styleId="987" w:customStyle="1">
    <w:name w:val="Cita destacada Car"/>
    <w:basedOn w:val="799"/>
    <w:link w:val="986"/>
    <w:uiPriority w:val="30"/>
    <w:pPr>
      <w:pBdr/>
      <w:spacing/>
      <w:ind/>
    </w:pPr>
    <w:rPr>
      <w:rFonts w:ascii="Manrope" w:hAnsi="Manrope"/>
      <w:i/>
      <w:iCs/>
      <w:color w:val="87b867"/>
    </w:rPr>
  </w:style>
  <w:style w:type="character" w:styleId="988">
    <w:name w:val="Subtle Reference"/>
    <w:basedOn w:val="799"/>
    <w:uiPriority w:val="31"/>
    <w:qFormat/>
    <w:pPr>
      <w:pBdr/>
      <w:spacing/>
      <w:ind/>
    </w:pPr>
    <w:rPr>
      <w:rFonts w:ascii="Manrope" w:hAnsi="Manrope"/>
      <w:smallCaps/>
      <w:color w:val="5a5a5a" w:themeColor="text1" w:themeTint="A5"/>
    </w:rPr>
  </w:style>
  <w:style w:type="character" w:styleId="989">
    <w:name w:val="Book Title"/>
    <w:basedOn w:val="799"/>
    <w:uiPriority w:val="33"/>
    <w:qFormat/>
    <w:pPr>
      <w:pBdr/>
      <w:spacing/>
      <w:ind/>
    </w:pPr>
    <w:rPr>
      <w:rFonts w:ascii="Manrope" w:hAnsi="Manrope"/>
      <w:b/>
      <w:bCs/>
      <w:i/>
      <w:iCs/>
      <w:spacing w:val="5"/>
    </w:rPr>
  </w:style>
  <w:style w:type="character" w:styleId="990">
    <w:name w:val="Unresolved Mention"/>
    <w:basedOn w:val="799"/>
    <w:uiPriority w:val="99"/>
    <w:semiHidden/>
    <w:unhideWhenUsed/>
    <w:pPr>
      <w:pBdr/>
      <w:spacing/>
      <w:ind/>
    </w:pPr>
    <w:rPr>
      <w:color w:val="605e5c"/>
      <w:shd w:val="clear" w:color="auto" w:fill="e1dfdd"/>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jpg"/></Relationships>
</file>

<file path=word/_rels/header2.xml.rels><?xml version="1.0" encoding="UTF-8" standalone="yes"?><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76FA14-470D-42C2-85D3-88152B6B20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Pagina A4_MEMBRETE_MINISTERIO_SALUD_BLANCO</Template>
  <Application>ONLYOFFICE/9.2.1.43</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Lube Orlandi</dc:creator>
  <cp:revision>3</cp:revision>
  <dcterms:created xsi:type="dcterms:W3CDTF">2025-07-30T12:43:00Z</dcterms:created>
  <dcterms:modified xsi:type="dcterms:W3CDTF">2026-01-20T16:50:24Z</dcterms:modified>
</cp:coreProperties>
</file>