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En realidad, los tres, ninguno se deriva, se deriva una vez que pase por el médico. Pero se entiende que el rojo es de atención inmediata, el amarillo es algo que no guarde, no revista tanta gravedad y el verde es lo menos grave, casi como una atención de consultorio que vino por la guardia. Entonces se supone que puede esperar un poco más. Pero bueno, cualquiera de esos tres pasan por el enfermero.</w:t>
      </w:r>
    </w:p>
    <w:p w:rsidR="00000000" w:rsidDel="00000000" w:rsidP="00000000" w:rsidRDefault="00000000" w:rsidRPr="00000000" w14:paraId="00000002">
      <w:pPr>
        <w:rPr/>
      </w:pPr>
      <w:r w:rsidDel="00000000" w:rsidR="00000000" w:rsidRPr="00000000">
        <w:rPr>
          <w:rtl w:val="0"/>
        </w:rPr>
        <w:t xml:space="preserve">Puede ser que quizá el verde el enfermero lo pueda despachar si es que no considera que sea algo  muy heavy y si no  lo que es rojo y amarillo habitualmente lo ve el médico y ahí define  si necesita lo puede estabilizar, es algo que lo puede manejar el o lo puede derivar.</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