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rtl w:val="0"/>
        </w:rPr>
        <w:t xml:space="preserve">Check List Entrevista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¿Clasificación de Guardia y complejidad?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¿Triaje Quién lo hace, tipo y cantidad de colores usados?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¿Tienen Shock Room?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¿Ambulancias Salen a buscar pacientes?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¿Cuántos sectores intervienen en la Guardia?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¿Cuál es su efector de referencia para derivar?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¿Tiene box de observación en guardia?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¿Cantidad de pacientes atendidos en guardia por día?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¿Dotación de médicos y enfermeros?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¿Tienen ambulancia y cuantas?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¿Tienen fuga de pacientes?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¿En qué parte del proceso es más habitual la fuga del paciente?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“SOLICITUD DE RECETA?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“ACCIDENTE DE AUTO”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“CONSULTA GINECOLOGICA”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“MUJER EN TRABAJO DE PARTO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PARTICULAR DE ESE EFECTOR.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“DEFUNCIÓN”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“SOLICITAR DERIVACIÓN A UN EFECTOR PÚBLICO Y PRIVADO”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Describir con pasos simples y ordenados un proceso de guardia “ACEPTAR UNA DERIVACIÓN DE UN EFECTOR PÚBLICO Y PRIVADO”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