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p>
    <w:p>
      <w:pPr>
        <w:spacing w:after="120" w:before="480"/>
        <w:jc w:val="center"/>
      </w:pPr>
      <w:r>
        <w:rPr>
          <w:rFonts w:ascii="Arial" w:cs="Arial" w:eastAsia="Arial" w:hAnsi="Arial"/>
          <w:b/>
          <w:bCs/>
          <w:color w:val="1F4E79"/>
          <w:sz w:val="56"/>
          <w:szCs w:val="56"/>
        </w:rPr>
        <w:t xml:space="preserve">DO-004</w:t>
      </w:r>
    </w:p>
    <w:p>
      <w:pPr>
        <w:spacing w:after="120" w:before="0"/>
        <w:jc w:val="center"/>
      </w:pPr>
      <w:r>
        <w:rPr>
          <w:rFonts w:ascii="Arial" w:cs="Arial" w:eastAsia="Arial" w:hAnsi="Arial"/>
          <w:b/>
          <w:bCs/>
          <w:color w:val="1F4E79"/>
          <w:sz w:val="36"/>
          <w:szCs w:val="36"/>
        </w:rPr>
        <w:t xml:space="preserve">Reporte de Data Augmentation mediante GANs</w:t>
      </w:r>
    </w:p>
    <w:p>
      <w:pPr>
        <w:spacing w:after="480" w:before="0"/>
        <w:jc w:val="center"/>
      </w:pPr>
      <w:r>
        <w:rPr>
          <w:rFonts w:ascii="Arial" w:cs="Arial" w:eastAsia="Arial" w:hAnsi="Arial"/>
          <w:color w:val="444444"/>
          <w:sz w:val="26"/>
          <w:szCs w:val="26"/>
        </w:rPr>
        <w:t xml:space="preserve">Módulo CNN — Radiografías Torácicas Veterinarias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Proyecto</w:t>
            </w:r>
          </w:p>
        </w:tc>
        <w:tc>
          <w:tcPr>
            <w:tcW w:type="dxa" w:w="624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sz w:val="20"/>
                <w:szCs w:val="20"/>
              </w:rPr>
              <w:t xml:space="preserve">Sistema Multimodal para la Asistencia en el Diagnóstico Clínico Veterinario</w:t>
            </w:r>
          </w:p>
        </w:tc>
      </w:tr>
      <w:tr>
        <w:tc>
          <w:tcPr>
            <w:tcW w:type="dxa" w:w="312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Caso piloto</w:t>
            </w:r>
          </w:p>
        </w:tc>
        <w:tc>
          <w:tcPr>
            <w:tcW w:type="dxa" w:w="624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sz w:val="20"/>
                <w:szCs w:val="20"/>
              </w:rPr>
              <w:t xml:space="preserve">Vargas Vet — Clínica Veterinaria, Trujillo</w:t>
            </w:r>
          </w:p>
        </w:tc>
      </w:tr>
      <w:tr>
        <w:tc>
          <w:tcPr>
            <w:tcW w:type="dxa" w:w="312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Autores</w:t>
            </w:r>
          </w:p>
        </w:tc>
        <w:tc>
          <w:tcPr>
            <w:tcW w:type="dxa" w:w="624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sz w:val="20"/>
                <w:szCs w:val="20"/>
              </w:rPr>
              <w:t xml:space="preserve">Baylón Toledo, Diogho Matteo — Saavedra Arroyo, Sebastián Alonso</w:t>
            </w:r>
          </w:p>
        </w:tc>
      </w:tr>
      <w:tr>
        <w:tc>
          <w:tcPr>
            <w:tcW w:type="dxa" w:w="312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Docente</w:t>
            </w:r>
          </w:p>
        </w:tc>
        <w:tc>
          <w:tcPr>
            <w:tcW w:type="dxa" w:w="624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sz w:val="20"/>
                <w:szCs w:val="20"/>
              </w:rPr>
              <w:t xml:space="preserve">Walter Cueva Chávez</w:t>
            </w:r>
          </w:p>
        </w:tc>
      </w:tr>
      <w:tr>
        <w:tc>
          <w:tcPr>
            <w:tcW w:type="dxa" w:w="312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Fecha</w:t>
            </w:r>
          </w:p>
        </w:tc>
        <w:tc>
          <w:tcPr>
            <w:tcW w:type="dxa" w:w="624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sz w:val="20"/>
                <w:szCs w:val="20"/>
              </w:rPr>
              <w:t xml:space="preserve">Junio 2026 — Sprint 2</w:t>
            </w:r>
          </w:p>
        </w:tc>
      </w:tr>
    </w:tbl>
    <w:p>
      <w:r>
        <w:br w:type="page"/>
      </w:r>
    </w:p>
    <w:p>
      <w:pPr>
        <w:pStyle w:val="Heading1"/>
        <w:spacing w:after="160" w:before="320"/>
      </w:pPr>
      <w:r>
        <w:rPr>
          <w:rFonts w:ascii="Arial" w:cs="Arial" w:eastAsia="Arial" w:hAnsi="Arial"/>
          <w:b/>
          <w:bCs/>
          <w:color w:val="1F4E79"/>
          <w:sz w:val="32"/>
          <w:szCs w:val="32"/>
        </w:rPr>
        <w:t xml:space="preserve">1. Introducción y Justificación</w:t>
      </w:r>
    </w:p>
    <w:p>
      <w:pPr>
        <w:spacing w:after="80" w:before="80"/>
      </w:pPr>
      <w:r>
        <w:rPr>
          <w:rFonts w:ascii="Arial" w:cs="Arial" w:eastAsia="Arial" w:hAnsi="Arial"/>
          <w:sz w:val="22"/>
          <w:szCs w:val="22"/>
        </w:rPr>
        <w:t xml:space="preserve">En el marco del Sprint 2 del proyecto, tras completar el benchmarking de modelos CNN (DO-002) y el entrenamiento del modelo ganador DenseNet-121 (DO-003), el docente evaluador Walter Cueva indicó implementar técnicas de data augmentation utilizando Redes Generativas Adversariales (GANs) como mecanismo para mejorar el balance de clases en el conjunto de entrenamiento.</w:t>
      </w:r>
    </w:p>
    <w:p>
      <w:pPr>
        <w:spacing w:after="80" w:before="80"/>
      </w:pPr>
      <w:r>
        <w:t xml:space="preserve"/>
      </w:r>
    </w:p>
    <w:p>
      <w:pPr>
        <w:spacing w:after="80" w:before="80"/>
      </w:pPr>
      <w:r>
        <w:rPr>
          <w:rFonts w:ascii="Arial" w:cs="Arial" w:eastAsia="Arial" w:hAnsi="Arial"/>
          <w:sz w:val="22"/>
          <w:szCs w:val="22"/>
        </w:rPr>
        <w:t xml:space="preserve">El dataset VetXRay presenta una distribución de clases marcadamente desbalanceada. Las tres clases con menor representación constituyen los hallazgos menos frecuentes pero clínicamente relevantes, lo que genera sesgo en el modelo hacia las clases mayoritarias.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Distribución original del conjunto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Imágenes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Porcentaje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no_finding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Dominante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cardiomegaly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1,120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22.8%</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Suficiente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alveolar_pattern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13.7%</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Minoritaria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bronchial_pattern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454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9.2%</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Minoritaria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pleural_effusion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Crítica 🔴</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4,914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after="80" w:before="80"/>
      </w:pPr>
      <w:r>
        <w:t xml:space="preserve"/>
      </w:r>
    </w:p>
    <w:p>
      <w:pPr>
        <w:spacing w:after="80" w:before="80"/>
      </w:pPr>
      <w:r>
        <w:rPr>
          <w:rFonts w:ascii="Arial" w:cs="Arial" w:eastAsia="Arial" w:hAnsi="Arial"/>
          <w:sz w:val="22"/>
          <w:szCs w:val="22"/>
        </w:rPr>
        <w:t xml:space="preserve">La estrategia adoptada fue generar imágenes sintéticas únicamente para las tres clases deficitarias, dejando intactas las clases con representación adecuada. Aumentar las clases mayoritarias empeoraría el desbalance en lugar de corregirlo.</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Arquitectura GAN Implementada</w:t>
      </w:r>
    </w:p>
    <w:p>
      <w:pPr>
        <w:spacing w:after="80" w:before="80"/>
      </w:pPr>
      <w:r>
        <w:rPr>
          <w:rFonts w:ascii="Arial" w:cs="Arial" w:eastAsia="Arial" w:hAnsi="Arial"/>
          <w:sz w:val="22"/>
          <w:szCs w:val="22"/>
        </w:rPr>
        <w:t xml:space="preserve">Se implementó una DCGAN (Deep Convolutional Generative Adversarial Network) independiente por clase minoritaria. La elección de DCGAN se justifica por su equilibrio entre estabilidad de entrenamiento y calidad de imagen para conjuntos de datos médicos de tamaño limitado.</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Generador</w:t>
      </w:r>
    </w:p>
    <w:p>
      <w:pPr>
        <w:spacing w:after="80" w:before="80"/>
      </w:pPr>
      <w:r>
        <w:rPr>
          <w:rFonts w:ascii="Arial" w:cs="Arial" w:eastAsia="Arial" w:hAnsi="Arial"/>
          <w:sz w:val="22"/>
          <w:szCs w:val="22"/>
        </w:rPr>
        <w:t xml:space="preserve">Arquitectura convolucional transpuesta que transforma un vector de ruido latente en una imagen sintética de 128×128 píxeles en escala de grises: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Entrada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Salida</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Linear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 ∈ ℝ¹⁰⁰</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256 × 8 × 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 + BN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ConvTranspose2d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256 × 8 × 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128 × 16 × 16</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ReLU + BN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ConvTranspose2d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 × 16 × 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 × 32 × 32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ReLU + BN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ConvTranspose2d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64 × 32 × 32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32 × 64 × 64</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ReLU + BN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ConvTranspose2d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 × 64 × 64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 128 × 128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Tanh</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Discriminador</w:t>
      </w:r>
    </w:p>
    <w:p>
      <w:pPr>
        <w:spacing w:after="80" w:before="80"/>
      </w:pPr>
      <w:r>
        <w:rPr>
          <w:rFonts w:ascii="Arial" w:cs="Arial" w:eastAsia="Arial" w:hAnsi="Arial"/>
          <w:sz w:val="22"/>
          <w:szCs w:val="22"/>
        </w:rPr>
        <w:t xml:space="preserve">Red convolucional que clasifica imágenes como reales o sintéticas: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Entrada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Salida</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Conv2d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 128 × 128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 × 64 × 64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LeakyReLU(0.2)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Conv2d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32 × 64 × 64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64 × 32 × 32</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LeakyReLU + BN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Conv2d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64 × 32 × 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 × 16 × 16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LeakyReLU + BN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Conv2d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128 × 16 × 16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256 × 8 × 8</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LeakyReLU + BN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Linear + Flatten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256 × 8 × 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(escalar)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BCEWithLogitsLoss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Función de pérdida</w:t>
      </w:r>
    </w:p>
    <w:p>
      <w:pPr>
        <w:spacing w:after="80" w:before="80"/>
      </w:pPr>
      <w:r>
        <w:rPr>
          <w:rFonts w:ascii="Arial" w:cs="Arial" w:eastAsia="Arial" w:hAnsi="Arial"/>
          <w:sz w:val="22"/>
          <w:szCs w:val="22"/>
        </w:rPr>
        <w:t xml:space="preserve">Se utilizó BCEWithLogitsLoss (Binary Cross-Entropy con logits) para ambas redes, con inicialización de pesos mediante distribución normal N(0, 0.02) según la configuración estándar de DCGAN (Radford et al., 2015).</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3. Configuración del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Hiperparámetro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Dimensión espacio latente (noise_dim)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Tamaño de imagen generada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128 × 128 px (escala de grises)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Learning rate (G y 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 × 10⁻⁴</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Optimizador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Adam (β1=0.5, β2=0.999)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Número de épocas por GAN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GANs entrenadas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(una por clase minoritaria)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Seed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NVIDIA RTX 4060 8GB VRAM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Duración total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685 minutos (~11.4 horas)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Monitoreo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Weights &amp; Biases — proyecto vetxray-cnn</w:t>
            </w:r>
          </w:p>
        </w:tc>
      </w:tr>
    </w:tbl>
    <w:p>
      <w:pPr>
        <w:spacing w:after="80" w:before="80"/>
      </w:pPr>
      <w:r>
        <w:t xml:space="preserve"/>
      </w:r>
    </w:p>
    <w:p>
      <w:pPr>
        <w:spacing w:after="80" w:before="80"/>
      </w:pPr>
      <w:r>
        <w:rPr>
          <w:rFonts w:ascii="Arial" w:cs="Arial" w:eastAsia="Arial" w:hAnsi="Arial"/>
          <w:sz w:val="22"/>
          <w:szCs w:val="22"/>
        </w:rPr>
        <w:t xml:space="preserve">El procesamiento de imágenes DICOM para la GAN replica la misma normalización utilizada en los notebooks de entrenamiento CNN: percentil 2-98, manejo de MONOCHROME1, y normalización al rango [-1, 1] para la función Tanh del generador.</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4. Resultados del Entrenamiento GAN</w:t>
      </w:r>
    </w:p>
    <w:p>
      <w:pPr>
        <w:pStyle w:val="Heading2"/>
        <w:spacing w:after="120" w:before="240"/>
      </w:pPr>
      <w:r>
        <w:rPr>
          <w:rFonts w:ascii="Arial" w:cs="Arial" w:eastAsia="Arial" w:hAnsi="Arial"/>
          <w:b/>
          <w:bCs/>
          <w:color w:val="2E75B6"/>
          <w:sz w:val="26"/>
          <w:szCs w:val="26"/>
        </w:rPr>
        <w:t xml:space="preserve">4.1 Métricas finales por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D_loss final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G_loss final</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Época final</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Imágenes 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bronchial_pattern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5.6478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300/300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alveolar_pattern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300/300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pleural_effusion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300/300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1,292</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Análisis del comportamiento de pérdidas</w:t>
      </w:r>
    </w:p>
    <w:p>
      <w:pPr>
        <w:spacing w:after="80" w:before="80"/>
      </w:pPr>
      <w:r>
        <w:rPr>
          <w:rFonts w:ascii="Arial" w:cs="Arial" w:eastAsia="Arial" w:hAnsi="Arial"/>
          <w:sz w:val="22"/>
          <w:szCs w:val="22"/>
        </w:rPr>
        <w:t xml:space="preserve">Se observó un patrón común en las tres GANs: el Discriminador convergió rápidamente a valores muy bajos mientras el Generador mantuvo pérdidas elevadas. Este comportamiento es característico de la dominancia del Discriminador en DCGAN y es especialmente pronunciado en conjuntos pequeños de imágenes médicas.</w:t>
      </w:r>
    </w:p>
    <w:p>
      <w:pPr>
        <w:spacing w:after="80" w:before="80"/>
      </w:pPr>
      <w:r>
        <w:t xml:space="preserve"/>
      </w:r>
    </w:p>
    <w:p>
      <w:pPr>
        <w:spacing w:after="80" w:before="80"/>
      </w:pPr>
      <w:r>
        <w:rPr>
          <w:rFonts w:ascii="Arial" w:cs="Arial" w:eastAsia="Arial" w:hAnsi="Arial"/>
          <w:sz w:val="22"/>
          <w:szCs w:val="22"/>
        </w:rPr>
        <w:t xml:space="preserve">A pesar de esta dinámica de pérdidas, las imágenes sintéticas generadas preservan estructuras anatomómicas reconocibles propias de radiografías torácicas, lo cual es suficiente para el propósito de regularización del entrenamiento CNN.</w:t>
      </w:r>
    </w:p>
    <w:p>
      <w:pPr>
        <w:spacing w:after="80" w:before="80"/>
      </w:pPr>
      <w:r>
        <w:t xml:space="preserve"/>
      </w:r>
    </w:p>
    <w:p>
      <w:pPr>
        <w:spacing w:after="80" w:before="80"/>
      </w:pPr>
      <w:r>
        <w:rPr>
          <w:rFonts w:ascii="Arial" w:cs="Arial" w:eastAsia="Arial" w:hAnsi="Arial"/>
          <w:sz w:val="22"/>
          <w:szCs w:val="22"/>
        </w:rPr>
        <w:t xml:space="preserve">Comportamiento observado en W&amp;B (run: TA-005D-GAN-Augmentation):</w:t>
      </w:r>
    </w:p>
    <w:p>
      <w:pPr>
        <w:pStyle w:val="ListParagraph"/>
        <w:numPr>
          <w:ilvl w:val="0"/>
          <w:numId w:val="2"/>
        </w:numPr>
        <w:spacing w:after="40" w:before="40"/>
      </w:pPr>
      <w:r>
        <w:rPr>
          <w:rFonts w:ascii="Arial" w:cs="Arial" w:eastAsia="Arial" w:hAnsi="Arial"/>
          <w:sz w:val="22"/>
          <w:szCs w:val="22"/>
        </w:rPr>
        <w:t xml:space="preserve">D_loss: descendió de ~0.5 a valores menores a 0.02 en las primeras 100 épocas</w:t>
      </w:r>
    </w:p>
    <w:p>
      <w:pPr>
        <w:pStyle w:val="ListParagraph"/>
        <w:numPr>
          <w:ilvl w:val="0"/>
          <w:numId w:val="2"/>
        </w:numPr>
        <w:spacing w:after="40" w:before="40"/>
      </w:pPr>
      <w:r>
        <w:rPr>
          <w:rFonts w:ascii="Arial" w:cs="Arial" w:eastAsia="Arial" w:hAnsi="Arial"/>
          <w:sz w:val="22"/>
          <w:szCs w:val="22"/>
        </w:rPr>
        <w:t xml:space="preserve">G_loss: ascendió de ~2.5 a ~5.6 conforme el Discriminador se fortaleció</w:t>
      </w:r>
    </w:p>
    <w:p>
      <w:pPr>
        <w:pStyle w:val="ListParagraph"/>
        <w:numPr>
          <w:ilvl w:val="0"/>
          <w:numId w:val="2"/>
        </w:numPr>
        <w:spacing w:after="40" w:before="40"/>
      </w:pPr>
      <w:r>
        <w:rPr>
          <w:rFonts w:ascii="Arial" w:cs="Arial" w:eastAsia="Arial" w:hAnsi="Arial"/>
          <w:sz w:val="22"/>
          <w:szCs w:val="22"/>
        </w:rPr>
        <w:t xml:space="preserve">Imágenes de muestra actualizadas cada 25 épocas en W&amp;B</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5. Dataset Aumentado Resultante</w:t>
      </w:r>
    </w:p>
    <w:p>
      <w:pPr>
        <w:pStyle w:val="Heading2"/>
        <w:spacing w:after="120" w:before="240"/>
      </w:pPr>
      <w:r>
        <w:rPr>
          <w:rFonts w:ascii="Arial" w:cs="Arial" w:eastAsia="Arial" w:hAnsi="Arial"/>
          <w:b/>
          <w:bCs/>
          <w:color w:val="2E75B6"/>
          <w:sz w:val="26"/>
          <w:szCs w:val="26"/>
        </w:rPr>
        <w:t xml:space="preserve">5.1 Composición de train_augmented.csv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Sintéticas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no_finding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2,469</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 cambio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cardiomegaly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1,120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1,120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Sin cambio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alveolar_pattern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bronchial_pattern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454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546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pleural_effusion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4,914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1,292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6,206</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+26.3%</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Estructura de archivos</w:t>
      </w:r>
    </w:p>
    <w:p>
      <w:pPr>
        <w:pStyle w:val="ListParagraph"/>
        <w:numPr>
          <w:ilvl w:val="0"/>
          <w:numId w:val="2"/>
        </w:numPr>
        <w:spacing w:after="40" w:before="40"/>
      </w:pPr>
      <w:r>
        <w:rPr>
          <w:rFonts w:ascii="Arial" w:cs="Arial" w:eastAsia="Arial" w:hAnsi="Arial"/>
          <w:sz w:val="22"/>
          <w:szCs w:val="22"/>
        </w:rPr>
        <w:t xml:space="preserve">Imágenes reales: archivos .dcm en dataset_split/train/ (sin modificación)</w:t>
      </w:r>
    </w:p>
    <w:p>
      <w:pPr>
        <w:pStyle w:val="ListParagraph"/>
        <w:numPr>
          <w:ilvl w:val="0"/>
          <w:numId w:val="2"/>
        </w:numPr>
        <w:spacing w:after="40" w:before="40"/>
      </w:pPr>
      <w:r>
        <w:rPr>
          <w:rFonts w:ascii="Arial" w:cs="Arial" w:eastAsia="Arial" w:hAnsi="Arial"/>
          <w:sz w:val="22"/>
          <w:szCs w:val="22"/>
        </w:rPr>
        <w:t xml:space="preserve">Imágenes sintéticas: archivos .png en dataset_split/synthetic/{clase}/</w:t>
      </w:r>
    </w:p>
    <w:p>
      <w:pPr>
        <w:pStyle w:val="ListParagraph"/>
        <w:numPr>
          <w:ilvl w:val="0"/>
          <w:numId w:val="2"/>
        </w:numPr>
        <w:spacing w:after="40" w:before="40"/>
      </w:pPr>
      <w:r>
        <w:rPr>
          <w:rFonts w:ascii="Arial" w:cs="Arial" w:eastAsia="Arial" w:hAnsi="Arial"/>
          <w:sz w:val="22"/>
          <w:szCs w:val="22"/>
        </w:rPr>
        <w:t xml:space="preserve">Manifest: dataset_split/manifests/train_augmented.csv (6,206 filas)</w:t>
      </w:r>
    </w:p>
    <w:p>
      <w:pPr>
        <w:pStyle w:val="ListParagraph"/>
        <w:numPr>
          <w:ilvl w:val="0"/>
          <w:numId w:val="2"/>
        </w:numPr>
        <w:spacing w:after="40" w:before="40"/>
      </w:pPr>
      <w:r>
        <w:rPr>
          <w:rFonts w:ascii="Arial" w:cs="Arial" w:eastAsia="Arial" w:hAnsi="Arial"/>
          <w:sz w:val="22"/>
          <w:szCs w:val="22"/>
        </w:rPr>
        <w:t xml:space="preserve">Columnas adicionales: is_synthetic (bool), synthetic_path (ruta absoluta)</w:t>
      </w:r>
    </w:p>
    <w:p>
      <w:pPr>
        <w:pStyle w:val="ListParagraph"/>
        <w:numPr>
          <w:ilvl w:val="0"/>
          <w:numId w:val="2"/>
        </w:numPr>
        <w:spacing w:after="40" w:before="40"/>
      </w:pPr>
      <w:r>
        <w:rPr>
          <w:rFonts w:ascii="Arial" w:cs="Arial" w:eastAsia="Arial" w:hAnsi="Arial"/>
          <w:sz w:val="22"/>
          <w:szCs w:val="22"/>
        </w:rPr>
        <w:t xml:space="preserve">Val y test: no modificados — evaluación sobre datos reales exclusivamente</w:t>
      </w:r>
    </w:p>
    <w:p>
      <w:pPr>
        <w:pStyle w:val="ListParagraph"/>
        <w:numPr>
          <w:ilvl w:val="0"/>
          <w:numId w:val="2"/>
        </w:numPr>
        <w:spacing w:after="40" w:before="40"/>
      </w:pPr>
      <w:r>
        <w:rPr>
          <w:rFonts w:ascii="Arial" w:cs="Arial" w:eastAsia="Arial" w:hAnsi="Arial"/>
          <w:sz w:val="22"/>
          <w:szCs w:val="22"/>
        </w:rPr>
        <w:t xml:space="preserve">Generadores guardados: checkpoints/gan_generator_{clase}.pth</w:t>
      </w:r>
    </w:p>
    <w:p>
      <w:pPr>
        <w:spacing w:after="80" w:before="80"/>
      </w:pPr>
      <w:r>
        <w:t xml:space="preserve"/>
      </w:r>
    </w:p>
    <w:p>
      <w:pPr>
        <w:spacing w:after="80" w:before="80"/>
      </w:pPr>
      <w:r>
        <w:rPr>
          <w:rFonts w:ascii="Arial" w:cs="Arial" w:eastAsia="Arial" w:hAnsi="Arial"/>
          <w:sz w:val="22"/>
          <w:szCs w:val="22"/>
        </w:rPr>
        <w:t xml:space="preserve">La separación entre datos reales e imágenes sintéticas mediante la columna is_synthetic permite al VetXRayDataset aplicar el pipeline de carga correcto: pydicom para DICOM reales y PIL para PNG sintéticas.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6. Próximos Pasos</w:t>
      </w:r>
    </w:p>
    <w:p>
      <w:pPr>
        <w:spacing w:after="80" w:before="80"/>
      </w:pPr>
      <w:r>
        <w:rPr>
          <w:rFonts w:ascii="Arial" w:cs="Arial" w:eastAsia="Arial" w:hAnsi="Arial"/>
          <w:sz w:val="22"/>
          <w:szCs w:val="22"/>
        </w:rPr>
        <w:t xml:space="preserve">Con el dataset aumentado disponible, la siguiente fase consiste en reentrenar los tres modelos del benchmarking utilizando train_augmented.csv para determinar si la augmentación mediante GANs mejora el AUC respecto a los resultados originales (sin augmentación):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Optimizaciones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 base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TA-003B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ResNet-50 reentrenado + W&amp;B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AMP + checkpoints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0.8619</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TA-004B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EfficientNet-B0 reentrenado + W&amp;B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AMP + checkpoints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0.8621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TA-005E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DenseNet-121 reentrenado + W&amp;B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AMP + Grad Clip + checkpoints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0.8717</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TA-005C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Grad-CAM (3 modelos × 5 clases × 5 muestras)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Visualización interpretabilidad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80" w:before="80"/>
      </w:pPr>
      <w:r>
        <w:t xml:space="preserve"/>
      </w:r>
    </w:p>
    <w:p>
      <w:pPr>
        <w:spacing w:after="80" w:before="80"/>
      </w:pPr>
      <w:r>
        <w:rPr>
          <w:rFonts w:ascii="Arial" w:cs="Arial" w:eastAsia="Arial" w:hAnsi="Arial"/>
          <w:sz w:val="22"/>
          <w:szCs w:val="22"/>
        </w:rPr>
        <w:t xml:space="preserve">Los conjuntos de validación y prueba permanecen inalterados, garantizando una comparación justa entre el experimento con y sin augmentación.</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7. Conclusión</w:t>
      </w:r>
    </w:p>
    <w:p>
      <w:pPr>
        <w:spacing w:after="80" w:before="80"/>
      </w:pPr>
      <w:r>
        <w:rPr>
          <w:rFonts w:ascii="Arial" w:cs="Arial" w:eastAsia="Arial" w:hAnsi="Arial"/>
          <w:sz w:val="22"/>
          <w:szCs w:val="22"/>
        </w:rPr>
        <w:t xml:space="preserve">Se implementó exitosamente un pipeline de data augmentation basado en DCGAN para el dataset VetXRay de radiografías torácicas veterinarias. En 685 minutos de entrenamiento sobre GPU RTX 4060, se generaron 1,292 imágenes sintéticas distribuidas entre las tres clases minoritarias del dataset.</w:t>
      </w:r>
    </w:p>
    <w:p>
      <w:pPr>
        <w:spacing w:after="80" w:before="80"/>
      </w:pPr>
      <w:r>
        <w:t xml:space="preserve"/>
      </w:r>
    </w:p>
    <w:p>
      <w:pPr>
        <w:spacing w:after="80" w:before="80"/>
      </w:pPr>
      <w:r>
        <w:rPr>
          <w:rFonts w:ascii="Arial" w:cs="Arial" w:eastAsia="Arial" w:hAnsi="Arial"/>
          <w:sz w:val="22"/>
          <w:szCs w:val="22"/>
        </w:rPr>
        <w:t xml:space="preserve">Las imágenes sintéticas presentan estructuras anatomómicas recognocibles de radiografías torácicas, con mejor calidad visual observada en la clase bronchial_pattern. El dataset aumentado train_augmented.csv incrementa el conjunto de entrenamiento en un 26.3% (de 4,914 a 6,206 imágenes) y reduce la razón de desbalance entre la clase dominante (no_finding) y la más minoritaria (pleural_effusion) de 8.7:1 a 3.5:1.</w:t>
      </w:r>
    </w:p>
    <w:p>
      <w:pPr>
        <w:spacing w:after="80" w:before="80"/>
      </w:pPr>
      <w:r>
        <w:t xml:space="preserve"/>
      </w:r>
    </w:p>
    <w:p>
      <w:pPr>
        <w:spacing w:after="80" w:before="80"/>
      </w:pPr>
      <w:r>
        <w:rPr>
          <w:rFonts w:ascii="Arial" w:cs="Arial" w:eastAsia="Arial" w:hAnsi="Arial"/>
          <w:sz w:val="22"/>
          <w:szCs w:val="22"/>
        </w:rPr>
        <w:t xml:space="preserve">Todo el proceso fue monitorizado en tiempo real mediante Weights &amp; Biases (proyecto vetxray-cnn, run TA-005D-GAN-Augmentation), proporcionando trazabilidad completa del experimento para evaluación académica.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666666"/>
        <w:sz w:val="16"/>
        <w:szCs w:val="16"/>
      </w:rPr>
      <w:t xml:space="preserve">UPAO — Taller Integrador I | 2026</w:t>
    </w:r>
    <w:r>
      <w:rPr>
        <w:sz w:val="16"/>
        <w:szCs w:val="16"/>
      </w:rPr>
      <w:t xml:space="preserve">	</w:t>
    </w: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666666"/>
        <w:sz w:val="18"/>
        <w:szCs w:val="18"/>
      </w:rPr>
      <w:t xml:space="preserve">Sistema Multimodal IA Veterinaria — Vargas Vet</w:t>
    </w:r>
    <w:r>
      <w:rPr>
        <w:sz w:val="18"/>
        <w:szCs w:val="18"/>
      </w:rPr>
      <w:t xml:space="preserve">	</w:t>
    </w:r>
    <w:r>
      <w:rPr>
        <w:rFonts w:ascii="Arial" w:cs="Arial" w:eastAsia="Arial" w:hAnsi="Arial"/>
        <w:b/>
        <w:bCs/>
        <w:color w:val="2E75B6"/>
        <w:sz w:val="18"/>
        <w:szCs w:val="18"/>
      </w:rPr>
      <w:t xml:space="preserve">DO-004 | GAN Augmentation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2026-06-07T14:25:42.432Z</dcterms:created>
  <dcterms:modified xsi:type="dcterms:W3CDTF">2026-06-07T14:25:42.433Z</dcterms:modified>
</cp:coreProperties>
</file>

<file path=docProps/custom.xml><?xml version="1.0" encoding="utf-8"?>
<Properties xmlns="http://schemas.openxmlformats.org/officeDocument/2006/custom-properties" xmlns:vt="http://schemas.openxmlformats.org/officeDocument/2006/docPropsVTypes"/>
</file>