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Arquitetura e Requisitos</w:t>
        <w:br/>
        <w:t>MVP: Sistema de Ponto Assíncrono</w:t>
      </w:r>
    </w:p>
    <w:p>
      <w:pPr>
        <w:pStyle w:val="Heading1"/>
      </w:pPr>
      <w:r>
        <w:t>1. Visão Arquitetural e Decisões Técnicas</w:t>
      </w:r>
    </w:p>
    <w:p>
      <w:r>
        <w:t>Este documento define a base técnica para o MVP do Sistema de Ponto. A arquitetura foi desenhada com foco em Alta Disponibilidade (AP), tolerância a falhas e interoperabilidade, adotando o modelo de Arquitetura Orientada a Eventos (EDA).</w:t>
      </w:r>
    </w:p>
    <w:p>
      <w:r>
        <w:t>Decisões Core:</w:t>
      </w:r>
    </w:p>
    <w:p>
      <w:pPr>
        <w:pStyle w:val="ListBullet"/>
      </w:pPr>
      <w:r>
        <w:t>Agnóstico de Stack (Interoperabilidade): A comunicação entre os serviços é feita de forma neutra, permitindo que produtores e consumidores sejam escritos em qualquer linguagem de programação (Java, Python, Go, Node.js, etc.).</w:t>
      </w:r>
    </w:p>
    <w:p>
      <w:pPr>
        <w:pStyle w:val="ListBullet"/>
      </w:pPr>
      <w:r>
        <w:t>Broker de Mensageria: ActiveMQ.</w:t>
      </w:r>
    </w:p>
    <w:p>
      <w:pPr>
        <w:pStyle w:val="ListBullet"/>
      </w:pPr>
      <w:r>
        <w:t>Protocolo: AMQP 1.0. A escolha do AMQP previne vendor lock-in e estabelece a fila de mensagens como um contrato agnóstico (API Assíncrona).</w:t>
      </w:r>
    </w:p>
    <w:p>
      <w:pPr>
        <w:pStyle w:val="ListBullet"/>
      </w:pPr>
      <w:r>
        <w:t>Padrão de Comunicação: Coreografia de Eventos (Fila 1 para persistência -&gt; Fila 2 para notificação).</w:t>
      </w:r>
    </w:p>
    <w:p>
      <w:pPr>
        <w:pStyle w:val="Heading1"/>
      </w:pPr>
      <w:r>
        <w:t>2. Requisitos Funcionais (RF)</w:t>
      </w:r>
    </w:p>
    <w:p>
      <w:pPr>
        <w:pStyle w:val="ListBullet"/>
      </w:pPr>
      <w:r>
        <w:t>RF1 - Recepcionar Batida de Ponto (Producer): A API deve receber a matrícula (ID) do funcionário, gerar o timestamp exato e enviar a mensagem para a Fila 1 (Processamento). Retorna 202 Accepted imediatamente.</w:t>
      </w:r>
    </w:p>
    <w:p>
      <w:pPr>
        <w:pStyle w:val="ListBullet"/>
      </w:pPr>
      <w:r>
        <w:t>RF2 - Persistir Dados (Consumer A): Um worker lê a Fila 1, valida a mensagem e salva o registro no banco de dados (ex: H2/PostgreSQL).</w:t>
      </w:r>
    </w:p>
    <w:p>
      <w:pPr>
        <w:pStyle w:val="ListBullet"/>
      </w:pPr>
      <w:r>
        <w:t>RF3 - Acionar Notificação (Produtor Interno): Após persistir com sucesso, o Consumer A emite um evento para a Fila 2 (Notificação).</w:t>
      </w:r>
    </w:p>
    <w:p>
      <w:pPr>
        <w:pStyle w:val="ListBullet"/>
      </w:pPr>
      <w:r>
        <w:t>RF4 - Comprovar Ponto (Consumer B): Um worker lê a Fila 2 e simula o envio de e-mail (log) comprovando a operação.</w:t>
      </w:r>
    </w:p>
    <w:p>
      <w:pPr>
        <w:pStyle w:val="ListBullet"/>
      </w:pPr>
      <w:r>
        <w:t>RF5 - Consultar Histórico: API GET simples para listar os pontos batidos por um usuário.</w:t>
      </w:r>
    </w:p>
    <w:p>
      <w:pPr>
        <w:pStyle w:val="Heading1"/>
      </w:pPr>
      <w:r>
        <w:t>3. Requisitos Não Funcionais (RNF)</w:t>
      </w:r>
    </w:p>
    <w:p>
      <w:pPr>
        <w:pStyle w:val="ListBullet"/>
      </w:pPr>
      <w:r>
        <w:t>RNF1 - Alta Disponibilidade (AP): A API principal (Producer) não depende do banco de dados e deve responder em menos de 100ms.</w:t>
      </w:r>
    </w:p>
    <w:p>
      <w:pPr>
        <w:pStyle w:val="ListBullet"/>
      </w:pPr>
      <w:r>
        <w:t>RNF2 - Consistência Eventual: Tolerância a atrasos de processamento na fila para atualização da leitura.</w:t>
      </w:r>
    </w:p>
    <w:p>
      <w:pPr>
        <w:pStyle w:val="ListBullet"/>
      </w:pPr>
      <w:r>
        <w:t>RNF3 - Garantia de Entrega: Uso de Manual ACK (Acknowledge). A mensagem só é removida da fila após processamento bem-sucedido.</w:t>
      </w:r>
    </w:p>
    <w:p>
      <w:pPr>
        <w:pStyle w:val="ListBullet"/>
      </w:pPr>
      <w:r>
        <w:t>RNF4 - Tolerância a Falhas: Se o banco falhar, a mensagem retorna para a Fila 1 (reprocessamento).</w:t>
      </w:r>
    </w:p>
    <w:p>
      <w:pPr>
        <w:pStyle w:val="Heading1"/>
      </w:pPr>
      <w:r>
        <w:t>4. Regras de Negócio (RN)</w:t>
      </w:r>
    </w:p>
    <w:p>
      <w:pPr>
        <w:pStyle w:val="ListBullet"/>
      </w:pPr>
      <w:r>
        <w:t>RN1 - A Verdade é o Timestamp da API: O horário oficial do ponto é o momento da requisição na API, não o da persistência no banco.</w:t>
      </w:r>
    </w:p>
    <w:p>
      <w:pPr>
        <w:pStyle w:val="ListBullet"/>
      </w:pPr>
      <w:r>
        <w:t>RN2 - Validação Tardia (Lazy Validation): A API não consulta o banco para validar o ID. O Consumer A faz isso de forma assíncrona.</w:t>
      </w:r>
    </w:p>
    <w:p>
      <w:pPr>
        <w:pStyle w:val="ListBullet"/>
      </w:pPr>
      <w:r>
        <w:t>RN3 - Debounce (Anti-Duplicidade): O sistema ignora batidas de ponto do mesmo ID num intervalo menor que 60 segundos.</w:t>
      </w:r>
    </w:p>
    <w:p>
      <w:pPr>
        <w:pStyle w:val="ListBullet"/>
      </w:pPr>
      <w:r>
        <w:t>RN4 - Comprovação Estrita: A notificação de sucesso (Fila 2) só ocorre se o dado foi realmente persistido.</w:t>
      </w:r>
    </w:p>
    <w:p>
      <w:pPr>
        <w:pStyle w:val="Heading1"/>
      </w:pPr>
      <w:r>
        <w:t>5. Design de Contratos (Payloads JSON)</w:t>
      </w:r>
    </w:p>
    <w:p>
      <w:r>
        <w:t>Para garantir a independência de tecnologia, os contratos (JSONs) trafegados no ActiveMQ via AMQP são autodescritivos, utilizando o padrão ISO 8601 para datas e o conceito de Event Enrichment (Enriquecimento de Eventos).</w:t>
      </w:r>
    </w:p>
    <w:p>
      <w:pPr>
        <w:pStyle w:val="Heading2"/>
      </w:pPr>
      <w:r>
        <w:t>5.1. Payload da API Pública (POST /pontos)</w:t>
      </w:r>
    </w:p>
    <w:p>
      <w:pPr>
        <w:pStyle w:val="IntenseQuote"/>
      </w:pPr>
      <w:r>
        <w:t>{</w:t>
        <w:br/>
        <w:t xml:space="preserve">  "idFuncionario": "98765"</w:t>
        <w:br/>
        <w:t>}</w:t>
      </w:r>
    </w:p>
    <w:p>
      <w:pPr>
        <w:pStyle w:val="Heading2"/>
      </w:pPr>
      <w:r>
        <w:t>5.2. Contrato da Fila 1 (RegistrarPontoCommand)</w:t>
      </w:r>
    </w:p>
    <w:p>
      <w:pPr>
        <w:pStyle w:val="IntenseQuote"/>
      </w:pPr>
      <w:r>
        <w:t>{</w:t>
        <w:br/>
        <w:t xml:space="preserve">  "mensagemId": "a1b2c3d4...",</w:t>
        <w:br/>
        <w:t xml:space="preserve">  "idFuncionario": "98765",</w:t>
        <w:br/>
        <w:t xml:space="preserve">  "timestampRegistro": "2026-10-14T20:38:00Z"</w:t>
        <w:br/>
        <w:t>}</w:t>
      </w:r>
    </w:p>
    <w:p>
      <w:pPr>
        <w:pStyle w:val="Heading2"/>
      </w:pPr>
      <w:r>
        <w:t>5.3. Contrato da Fila 2 (PontoRegistradoEvent)</w:t>
      </w:r>
    </w:p>
    <w:p>
      <w:pPr>
        <w:pStyle w:val="IntenseQuote"/>
      </w:pPr>
      <w:r>
        <w:t>{</w:t>
        <w:br/>
        <w:t xml:space="preserve">  "mensagemId": "f9e8d7c6...",</w:t>
        <w:br/>
        <w:t xml:space="preserve">  "idFuncionario": "98765",</w:t>
        <w:br/>
        <w:t xml:space="preserve">  "nomeFuncionario": "João da Silva",</w:t>
        <w:br/>
        <w:t xml:space="preserve">  "emailFuncionario": "joao@empresa.com",</w:t>
        <w:br/>
        <w:t xml:space="preserve">  "timestampRegistro": "2026-10-14T20:38:00Z"</w:t>
        <w:br/>
        <w:t>}</w:t>
      </w:r>
    </w:p>
    <w:p>
      <w:pPr>
        <w:pStyle w:val="Heading1"/>
      </w:pPr>
      <w:r>
        <w:t>6. Diretrizes de Arquitetura de Software (Ports and Adapters)</w:t>
      </w:r>
    </w:p>
    <w:p>
      <w:r>
        <w:t>O domínio da aplicação deve se comunicar com o mundo externo estritamente através de interfaces (Portas). A implementação real da tecnologia ficará na camada de infraestrutura (Adapters).</w:t>
      </w:r>
    </w:p>
    <w:p>
      <w:pPr>
        <w:pStyle w:val="Heading1"/>
      </w:pPr>
      <w:r>
        <w:t>7. Estrutura do Repositório (Monorepo)</w:t>
      </w:r>
    </w:p>
    <w:p>
      <w:r>
        <w:t>O projeto adota Monorepo para centralizar contratos e facilitar a execução local. A infraestrutura (Docker) fica na pasta /infra, isolada das pastas de cada aplicação.</w:t>
      </w:r>
    </w:p>
    <w:p>
      <w:pPr>
        <w:pStyle w:val="IntenseQuote"/>
      </w:pPr>
      <w:r>
        <w:t>sistema-ponto-mvp/</w:t>
        <w:br/>
        <w:t>├── docs/                       # Documentação (como este DOCX)</w:t>
        <w:br/>
        <w:t>├── infra/                      # docker-compose.yml (ActiveMQ, PostgreSQL)</w:t>
        <w:br/>
        <w:t>├── api-producer/               # Serviço Java/Spring (Recebe requisição e enfileira)</w:t>
        <w:br/>
        <w:t>├── worker-persistence/         # Serviço Java/Spring (Lê Fila 1, Salva BD, Envia Fila 2)</w:t>
        <w:br/>
        <w:t>└── worker-notification/        # Serviço Node.js/Python (Lê Fila 2 e notifica)</w:t>
      </w:r>
    </w:p>
    <w:p>
      <w:pPr>
        <w:pStyle w:val="Heading1"/>
      </w:pPr>
      <w:r>
        <w:t>8. Estratégia de Configuração e Ambientes (12-Factor App)</w:t>
      </w:r>
    </w:p>
    <w:p>
      <w:r>
        <w:t>Configurações que variam entre ambientes são injetadas exclusivamente via Variáveis de Ambiente (ENVs), priorizando a Nuvem em PROD/QA e arquivos .env isolados na máquina local em DEV. A aplicação adota a política de "Fail Fast" para ausência de variáveis vitais em produção.</w:t>
      </w:r>
    </w:p>
    <w:p>
      <w:pPr>
        <w:pStyle w:val="Heading1"/>
      </w:pPr>
      <w:r>
        <w:t>9. Modelagem de Dados (Relacional)</w:t>
      </w:r>
    </w:p>
    <w:p>
      <w:r>
        <w:t>Para manter a simplicidade do ambiente open-source, o MVP utilizará um banco de dados relacional (H2 em memória para DEV, PostgreSQL via Docker para testes/produção).</w:t>
      </w:r>
    </w:p>
    <w:p>
      <w:pPr>
        <w:pStyle w:val="Heading2"/>
      </w:pPr>
      <w:r>
        <w:t>Tabela: funcionario (Apenas Leitura no MVP)</w:t>
      </w:r>
    </w:p>
    <w:p>
      <w:pPr>
        <w:pStyle w:val="IntenseQuote"/>
      </w:pPr>
      <w:r>
        <w:t>CREATE TABLE funcionario (</w:t>
        <w:br/>
        <w:t xml:space="preserve">    id VARCHAR(50) PRIMARY KEY,</w:t>
        <w:br/>
        <w:t xml:space="preserve">    nome VARCHAR(100) NOT NULL,</w:t>
        <w:br/>
        <w:t xml:space="preserve">    email VARCHAR(100) NOT NULL</w:t>
        <w:br/>
        <w:t>);</w:t>
      </w:r>
    </w:p>
    <w:p>
      <w:pPr>
        <w:pStyle w:val="Heading2"/>
      </w:pPr>
      <w:r>
        <w:t>Tabela: registro_ponto (Append-only)</w:t>
      </w:r>
    </w:p>
    <w:p>
      <w:pPr>
        <w:pStyle w:val="IntenseQuote"/>
      </w:pPr>
      <w:r>
        <w:t>CREATE TABLE registro_ponto (</w:t>
        <w:br/>
        <w:t xml:space="preserve">    id UUID PRIMARY KEY,</w:t>
        <w:br/>
        <w:t xml:space="preserve">    mensagem_id UUID NOT NULL UNIQUE, -- ID da fila (Idempotência)</w:t>
        <w:br/>
        <w:t xml:space="preserve">    id_funcionario VARCHAR(50) NOT NULL,</w:t>
        <w:br/>
        <w:t xml:space="preserve">    timestamp_registro TIMESTAMP WITH TIME ZONE NOT NULL,</w:t>
        <w:br/>
        <w:t xml:space="preserve">    criado_em TIMESTAMP WITH TIME ZONE DEFAULT CURRENT_TIMESTAMP,</w:t>
        <w:br/>
        <w:t xml:space="preserve">    CONSTRAINT fk_funcionario FOREIGN KEY (id_funcionario) REFERENCES funcionario(id)</w:t>
        <w:br/>
        <w:t>);</w:t>
      </w:r>
    </w:p>
    <w:p>
      <w:pPr>
        <w:pStyle w:val="Heading1"/>
      </w:pPr>
      <w:r>
        <w:t>10. Topologia das Filas (Mensageria)</w:t>
      </w:r>
    </w:p>
    <w:p>
      <w:r>
        <w:t>O fluxo principal utiliza duas filas no ActiveMQ. Para esta primeira iteração do MVP, o tratamento de falhas focará na rejeição natural (NACK) com retorno para a fila principal, sem a complexidade de Dead Letter Queues (DLQ).</w:t>
      </w:r>
    </w:p>
    <w:p>
      <w:pPr>
        <w:pStyle w:val="ListBullet"/>
      </w:pPr>
      <w:r>
        <w:t>Fila 1 (Persistência): fila.ponto.processamento</w:t>
        <w:br/>
        <w:t>Propósito: Receber o comando da API. O Consumer A (Worker Persistence) consome desta fila.</w:t>
      </w:r>
    </w:p>
    <w:p>
      <w:pPr>
        <w:pStyle w:val="ListBullet"/>
      </w:pPr>
      <w:r>
        <w:t>Fila 2 (Notificação): fila.ponto.notificacao</w:t>
        <w:br/>
        <w:t>Propósito: Receber o evento enriquecido do Consumer A. O Consumer B (Worker Notification) consome desta fila.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