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Calibri" w:hAnsi="Calibri"/>
          <w:color w:val="0F5132"/>
          <w:sz w:val="26"/>
        </w:rPr>
        <w:t>INSTITUCIÓN EDUCATIVA PRIVADA</w:t>
      </w:r>
    </w:p>
    <w:p>
      <w:pPr>
        <w:jc w:val="center"/>
      </w:pPr>
      <w:r>
        <w:rPr>
          <w:rFonts w:ascii="Calibri" w:hAnsi="Calibri"/>
          <w:b/>
          <w:color w:val="0F5132"/>
          <w:sz w:val="36"/>
        </w:rPr>
        <w:t>SANTÍSIMA CRUZ</w:t>
      </w:r>
    </w:p>
    <w:p/>
    <w:p>
      <w:pPr>
        <w:jc w:val="center"/>
      </w:pPr>
      <w:r>
        <w:rPr>
          <w:color w:val="0F5132"/>
        </w:rPr>
        <w:t>─────────────────────────────────────────────</w:t>
      </w:r>
    </w:p>
    <w:p>
      <w:pPr>
        <w:spacing w:before="400"/>
        <w:jc w:val="center"/>
      </w:pPr>
      <w:r>
        <w:rPr>
          <w:rFonts w:ascii="Calibri" w:hAnsi="Calibri"/>
          <w:b/>
          <w:color w:val="0F5132"/>
          <w:sz w:val="48"/>
        </w:rPr>
        <w:t>MANUAL DEL DOCENTE</w:t>
      </w:r>
    </w:p>
    <w:p>
      <w:pPr>
        <w:jc w:val="center"/>
      </w:pPr>
      <w:r>
        <w:rPr>
          <w:rFonts w:ascii="Calibri" w:hAnsi="Calibri"/>
          <w:i/>
          <w:color w:val="1F7A8C"/>
          <w:sz w:val="28"/>
        </w:rPr>
        <w:t>Guía de Uso — Profesores y Tutores</w:t>
      </w:r>
    </w:p>
    <w:p/>
    <w:p>
      <w:pPr>
        <w:jc w:val="center"/>
      </w:pPr>
      <w:r>
        <w:rPr>
          <w:color w:val="0F5132"/>
        </w:rPr>
        <w:t>─────────────────────────────────────────────</w:t>
      </w:r>
    </w:p>
    <w:p/>
    <w:p>
      <w:pPr>
        <w:jc w:val="center"/>
      </w:pPr>
      <w:r>
        <w:rPr>
          <w:b/>
          <w:sz w:val="22"/>
        </w:rPr>
        <w:t xml:space="preserve">Versión: </w:t>
      </w:r>
      <w:r>
        <w:rPr>
          <w:sz w:val="22"/>
        </w:rPr>
        <w:t>1.0</w:t>
      </w:r>
    </w:p>
    <w:p>
      <w:pPr>
        <w:jc w:val="center"/>
      </w:pPr>
      <w:r>
        <w:rPr>
          <w:b/>
          <w:sz w:val="22"/>
        </w:rPr>
        <w:t xml:space="preserve">Año lectivo: </w:t>
      </w:r>
      <w:r>
        <w:rPr>
          <w:sz w:val="22"/>
        </w:rPr>
        <w:t>2026</w:t>
      </w:r>
    </w:p>
    <w:p>
      <w:pPr>
        <w:jc w:val="center"/>
      </w:pPr>
      <w:r>
        <w:rPr>
          <w:b/>
          <w:sz w:val="22"/>
        </w:rPr>
        <w:t xml:space="preserve">Fecha: </w:t>
      </w:r>
      <w:r>
        <w:rPr>
          <w:sz w:val="22"/>
        </w:rPr>
        <w:t>22/06/2026</w:t>
      </w:r>
    </w:p>
    <w:p>
      <w:r>
        <w:br w:type="page"/>
      </w:r>
    </w:p>
    <w:p>
      <w:pPr>
        <w:pStyle w:val="Heading1"/>
      </w:pPr>
      <w:r>
        <w:t>Introducción</w:t>
      </w:r>
    </w:p>
    <w:p>
      <w:pPr>
        <w:spacing w:after="120"/>
      </w:pPr>
      <w:r>
        <w:t>Este manual ha sido elaborado para guiar a todos los usuarios del Sistema Educativo de la I.E.P. Santísima Cruz en el uso correcto de la plataforma digital. Encontrará instrucciones paso a paso para cada función disponible según su rol.</w:t>
      </w:r>
    </w:p>
    <w:p>
      <w:pPr>
        <w:spacing w:after="120"/>
      </w:pPr>
      <w:r>
        <w:t>El sistema cuenta con tres perfiles de acceso:</w:t>
      </w:r>
    </w:p>
    <w:p>
      <w:pPr>
        <w:pStyle w:val="ListBullet"/>
        <w:spacing w:after="60"/>
        <w:ind w:left="432"/>
      </w:pPr>
      <w:r>
        <w:t>Administrador (Director): acceso total para gestionar la institución.</w:t>
      </w:r>
    </w:p>
    <w:p>
      <w:pPr>
        <w:pStyle w:val="ListBullet"/>
        <w:spacing w:after="60"/>
        <w:ind w:left="432"/>
      </w:pPr>
      <w:r>
        <w:t>Docente: acceso para revisar secciones, estudiantes y registrar notas.</w:t>
      </w:r>
    </w:p>
    <w:p>
      <w:pPr>
        <w:pStyle w:val="ListBullet"/>
        <w:spacing w:after="60"/>
        <w:ind w:left="432"/>
      </w:pPr>
      <w:r>
        <w:t>Estudiante: acceso para consultar sus calificaciones y datos de matrícula.</w:t>
      </w:r>
    </w:p>
    <w:p>
      <w:pPr>
        <w:spacing w:before="120" w:after="120"/>
        <w:ind w:left="288"/>
        <w:shd w:val="clear" w:color="auto" w:fill="E8F4FD"/>
      </w:pPr>
      <w:r>
        <w:rPr>
          <w:rFonts w:ascii="Calibri" w:hAnsi="Calibri"/>
          <w:i/>
          <w:sz w:val="20"/>
        </w:rPr>
        <w:t>💡 RECOMENDACIÓN: Use Google Chrome o Microsoft Edge actualizados para la mejor experiencia. La plataforma está optimizada para navegadores modernos.</w:t>
      </w:r>
    </w:p>
    <w:p/>
    <w:p>
      <w:r>
        <w:br w:type="page"/>
      </w:r>
    </w:p>
    <w:p>
      <w:pPr>
        <w:spacing w:before="120" w:after="80"/>
        <w:shd w:val="clear" w:color="auto" w:fill="0F5132"/>
      </w:pPr>
      <w:r>
        <w:rPr>
          <w:rFonts w:ascii="Calibri" w:hAnsi="Calibri"/>
          <w:b/>
          <w:color w:val="FFFFFF"/>
          <w:sz w:val="26"/>
        </w:rPr>
        <w:t xml:space="preserve">  PARTE 2 — MÓDULO DEL DOCENTE  </w:t>
      </w:r>
    </w:p>
    <w:p/>
    <w:p>
      <w:pPr>
        <w:pStyle w:val="Heading2"/>
      </w:pPr>
      <w:r>
        <w:t>2.1  Primer Ingreso — Cambio de Contraseña Obligatorio</w:t>
      </w:r>
    </w:p>
    <w:p>
      <w:pPr>
        <w:spacing w:after="120"/>
      </w:pPr>
      <w:r>
        <w:t>Al iniciar sesión por primera vez, el sistema detectará que su cuenta tiene la contraseña predeterminada (su número de DNI) y le pedirá obligatoriamente que la cambie por una más segura. No podrá acceder a ninguna función del sistema sin completar este paso.</w:t>
      </w:r>
    </w:p>
    <w:p>
      <w:pPr>
        <w:spacing w:after="100"/>
        <w:ind w:left="288"/>
      </w:pPr>
      <w:r>
        <w:rPr>
          <w:b/>
          <w:color w:val="2F5496"/>
        </w:rPr>
        <w:t xml:space="preserve">Paso 1: </w:t>
      </w:r>
      <w:r>
        <w:t>Abra su navegador y vaya a la dirección del sistema (proporcionada por el director o administrador).</w:t>
      </w:r>
    </w:p>
    <w:p>
      <w:pPr>
        <w:spacing w:after="100"/>
        <w:ind w:left="288"/>
      </w:pPr>
      <w:r>
        <w:rPr>
          <w:b/>
          <w:color w:val="2F5496"/>
        </w:rPr>
        <w:t xml:space="preserve">Paso 2: </w:t>
      </w:r>
      <w:r>
        <w:t>En la pantalla de inicio de sesión, ingrese su DNI en el campo «DNI o Correo» y su número de DNI también en el campo «Contraseña» (es la contraseña inicial).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inicio de sesión con el campo DNI completado y el campo Contraseña completado con el DNI como contraseña inicial</w:t>
      </w:r>
    </w:p>
    <w:p>
      <w:pPr>
        <w:spacing w:after="100"/>
        <w:ind w:left="288"/>
      </w:pPr>
      <w:r>
        <w:rPr>
          <w:b/>
          <w:color w:val="2F5496"/>
        </w:rPr>
        <w:t xml:space="preserve">Paso 3: </w:t>
      </w:r>
      <w:r>
        <w:t>Haga clic en «Ingresar». El sistema lo redirigirá automáticamente a la pantalla de cambio obligatorio de contraseña.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cambio obligatorio de contraseña con el cuadro azul de instrucciones que dice 'Por razones de seguridad, debes cambiar tu contraseña antes de continuar' y los requisitos listados</w:t>
      </w:r>
    </w:p>
    <w:p>
      <w:pPr>
        <w:spacing w:after="100"/>
        <w:ind w:left="288"/>
      </w:pPr>
      <w:r>
        <w:rPr>
          <w:b/>
          <w:color w:val="2F5496"/>
        </w:rPr>
        <w:t xml:space="preserve">Paso 4: </w:t>
      </w:r>
      <w:r>
        <w:t>Lea los requisitos de la nueva contraseña en el cuadro azul informativo:</w:t>
      </w:r>
    </w:p>
    <w:p>
      <w:pPr>
        <w:pStyle w:val="ListBullet"/>
        <w:spacing w:after="60"/>
        <w:ind w:left="720"/>
      </w:pPr>
      <w:r>
        <w:t>Mínimo 8 caracteres.</w:t>
      </w:r>
    </w:p>
    <w:p>
      <w:pPr>
        <w:pStyle w:val="ListBullet"/>
        <w:spacing w:after="60"/>
        <w:ind w:left="720"/>
      </w:pPr>
      <w:r>
        <w:t>Al menos una letra mayúscula (A-Z) y una minúscula (a-z).</w:t>
      </w:r>
    </w:p>
    <w:p>
      <w:pPr>
        <w:pStyle w:val="ListBullet"/>
        <w:spacing w:after="60"/>
        <w:ind w:left="720"/>
      </w:pPr>
      <w:r>
        <w:t>Al menos un número (0-9).</w:t>
      </w:r>
    </w:p>
    <w:p>
      <w:pPr>
        <w:pStyle w:val="ListBullet"/>
        <w:spacing w:after="60"/>
        <w:ind w:left="720"/>
      </w:pPr>
      <w:r>
        <w:t>Al menos un carácter especial como: @, $, !, %, *, ?, &amp;.</w:t>
      </w:r>
    </w:p>
    <w:p>
      <w:pPr>
        <w:spacing w:after="100"/>
        <w:ind w:left="288"/>
      </w:pPr>
      <w:r>
        <w:rPr>
          <w:b/>
          <w:color w:val="2F5496"/>
        </w:rPr>
        <w:t xml:space="preserve">Paso 5: </w:t>
      </w:r>
      <w:r>
        <w:t>Escriba su nueva contraseña en el campo «Nueva Contraseña». Elija una contraseña que pueda recordar fácilmente pero que sea difícil de adivinar.</w:t>
      </w:r>
    </w:p>
    <w:p>
      <w:pPr>
        <w:spacing w:after="100"/>
        <w:ind w:left="288"/>
      </w:pPr>
      <w:r>
        <w:rPr>
          <w:b/>
          <w:color w:val="2F5496"/>
        </w:rPr>
        <w:t xml:space="preserve">Paso 6: </w:t>
      </w:r>
      <w:r>
        <w:t>Repita la misma contraseña en el campo «Confirmar Nueva Contraseña».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cambio de contraseña con ambos campos (Nueva Contraseña y Confirmar Nueva Contraseña) completados, con los puntos de contraseña visibles</w:t>
      </w:r>
    </w:p>
    <w:p>
      <w:pPr>
        <w:spacing w:after="100"/>
        <w:ind w:left="288"/>
      </w:pPr>
      <w:r>
        <w:rPr>
          <w:b/>
          <w:color w:val="2F5496"/>
        </w:rPr>
        <w:t xml:space="preserve">Paso 7: </w:t>
      </w:r>
      <w:r>
        <w:t>Haga clic en el botón amarillo «Cambiar Contraseña».</w:t>
      </w:r>
    </w:p>
    <w:p>
      <w:pPr>
        <w:spacing w:after="100"/>
        <w:ind w:left="288"/>
      </w:pPr>
      <w:r>
        <w:rPr>
          <w:b/>
          <w:color w:val="2F5496"/>
        </w:rPr>
        <w:t xml:space="preserve">Paso 8: </w:t>
      </w:r>
      <w:r>
        <w:t>El sistema aceptará su nueva contraseña y lo llevará directamente a su Panel Docente.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Panel Principal del Docente (Mi Panel Docente) recién cargado, mostrando la tarjeta verde con el nombre completo del docente, su DNI, nivel y tipo</w:t>
      </w:r>
    </w:p>
    <w:p>
      <w:pPr>
        <w:spacing w:before="120" w:after="120"/>
        <w:ind w:left="288"/>
        <w:shd w:val="clear" w:color="auto" w:fill="E8F4FD"/>
      </w:pPr>
      <w:r>
        <w:rPr>
          <w:rFonts w:ascii="Calibri" w:hAnsi="Calibri"/>
          <w:i/>
          <w:sz w:val="20"/>
        </w:rPr>
        <w:t>💡 Si no está listo para cambiar la contraseña en ese momento, puede hacer clic en el enlace 'Omitir por ahora' en la parte inferior del formulario. Sin embargo, el sistema le solicitará el cambio nuevamente en el próximo inicio de sesión.</w:t>
      </w:r>
    </w:p>
    <w:p>
      <w:pPr>
        <w:spacing w:before="40" w:after="40"/>
        <w:pBdr>
          <w:bottom w:val="single" w:sz="4" w:space="1" w:color="2F5496"/>
        </w:pBdr>
      </w:pPr>
    </w:p>
    <w:p>
      <w:pPr>
        <w:pStyle w:val="Heading2"/>
      </w:pPr>
      <w:r>
        <w:t>2.2  Panel Principal del Docente</w:t>
      </w:r>
    </w:p>
    <w:p>
      <w:pPr>
        <w:spacing w:after="120"/>
      </w:pPr>
      <w:r>
        <w:t>Después de iniciar sesión, verá su panel personal con toda su información institucional.</w:t>
      </w:r>
    </w:p>
    <w:p>
      <w:pPr>
        <w:spacing w:after="120"/>
      </w:pPr>
      <w:r>
        <w:t>La tarjeta principal de su perfil muestra:</w:t>
      </w:r>
    </w:p>
    <w:p>
      <w:pPr>
        <w:pStyle w:val="ListBullet"/>
        <w:spacing w:after="60"/>
        <w:ind w:left="432"/>
      </w:pPr>
      <w:r>
        <w:t>Su nombre completo (en formato: Apellido Paterno, Apellido Materno, Nombres).</w:t>
      </w:r>
    </w:p>
    <w:p>
      <w:pPr>
        <w:pStyle w:val="ListBullet"/>
        <w:spacing w:after="60"/>
        <w:ind w:left="432"/>
      </w:pPr>
      <w:r>
        <w:t>Un badge que indica si es «Polidocente» o «Especialista».</w:t>
      </w:r>
    </w:p>
    <w:p>
      <w:pPr>
        <w:pStyle w:val="ListBullet"/>
        <w:spacing w:after="60"/>
        <w:ind w:left="432"/>
      </w:pPr>
      <w:r>
        <w:t>Su DNI, Nivel educativo (Primaria/Secundaria), celular de contacto y tipo de docente.</w:t>
      </w:r>
    </w:p>
    <w:p>
      <w:pPr>
        <w:pStyle w:val="ListBullet"/>
        <w:spacing w:after="60"/>
        <w:ind w:left="432"/>
      </w:pPr>
      <w:r>
        <w:t>Si es especialista: una sección adicional con los cursos de su especialidad.</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Panel docente completo: tarjeta de perfil con encabezado verde, nombre, badge de tipo, y grilla con DNI, Nivel, Celular y Tipo</w:t>
      </w:r>
    </w:p>
    <w:p>
      <w:pPr>
        <w:spacing w:before="120" w:after="120"/>
        <w:ind w:left="288"/>
        <w:shd w:val="clear" w:color="auto" w:fill="FFF3E0"/>
      </w:pPr>
      <w:r>
        <w:rPr>
          <w:rFonts w:ascii="Calibri" w:hAnsi="Calibri"/>
          <w:i/>
          <w:sz w:val="20"/>
        </w:rPr>
        <w:t>⚠️ Si su panel muestra el mensaje 'Perfil no encontrado', significa que el administrador aún no ha vinculado su cuenta con un perfil de docente. Comuníquese con el director o el responsable del sistema.</w:t>
      </w:r>
    </w:p>
    <w:p>
      <w:pPr>
        <w:spacing w:before="40" w:after="40"/>
        <w:pBdr>
          <w:bottom w:val="single" w:sz="4" w:space="1" w:color="2F5496"/>
        </w:pBdr>
      </w:pPr>
    </w:p>
    <w:p>
      <w:pPr>
        <w:pStyle w:val="Heading2"/>
      </w:pPr>
      <w:r>
        <w:t>2.3  Ver Mis Secciones Asignadas</w:t>
      </w:r>
    </w:p>
    <w:p>
      <w:pPr>
        <w:spacing w:after="120"/>
      </w:pPr>
      <w:r>
        <w:t>Para ver las secciones donde dicta clases, siga estos pasos:</w:t>
      </w:r>
    </w:p>
    <w:p>
      <w:pPr>
        <w:spacing w:after="100"/>
        <w:ind w:left="288"/>
      </w:pPr>
      <w:r>
        <w:rPr>
          <w:b/>
          <w:color w:val="2F5496"/>
        </w:rPr>
        <w:t xml:space="preserve">Paso 1: </w:t>
      </w:r>
      <w:r>
        <w:t>En el menú de navegación, haga clic en «Mis Secciones» o «Secciones a Cargo».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'Secciones a Cargo' con tarjetas de cada sección asignada: cada tarjeta muestra el nombre del grado, la sección (ej: A, B) y el nivel. Las secciones donde es tutor tienen una banda dorada superior que dice 'Sección a cargo (Tutor)'</w:t>
      </w:r>
    </w:p>
    <w:p>
      <w:pPr>
        <w:spacing w:after="100"/>
        <w:ind w:left="288"/>
      </w:pPr>
      <w:r>
        <w:rPr>
          <w:b/>
          <w:color w:val="2F5496"/>
        </w:rPr>
        <w:t xml:space="preserve">Paso 2: </w:t>
      </w:r>
      <w:r>
        <w:t>Verá una cuadrícula con tarjetas, una por cada sección asignada. Las tarjetas con una franja dorada en la parte superior indican que usted es el «Tutor» de esa sección.</w:t>
      </w:r>
    </w:p>
    <w:p>
      <w:pPr>
        <w:spacing w:after="100"/>
        <w:ind w:left="288"/>
      </w:pPr>
      <w:r>
        <w:rPr>
          <w:b/>
          <w:color w:val="2F5496"/>
        </w:rPr>
        <w:t xml:space="preserve">Paso 3: </w:t>
      </w:r>
      <w:r>
        <w:t>Haga clic sobre cualquier tarjeta de sección para ver la lista de estudiantes de esa sección.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lista de estudiantes de una sección específica, con columnas: Nombre completo, DNI, y botón 'Ver Notas'</w:t>
      </w:r>
    </w:p>
    <w:p>
      <w:pPr>
        <w:spacing w:before="120" w:after="120"/>
        <w:ind w:left="288"/>
        <w:shd w:val="clear" w:color="auto" w:fill="E8F4FD"/>
      </w:pPr>
      <w:r>
        <w:rPr>
          <w:rFonts w:ascii="Calibri" w:hAnsi="Calibri"/>
          <w:i/>
          <w:sz w:val="20"/>
        </w:rPr>
        <w:t>💡 Como Tutor de una sección, usted puede ver las notas de TODOS los cursos de sus estudiantes, no solo los cursos que dicta. Como especialista sin tutoría, solo verá las notas de su curso.</w:t>
      </w:r>
    </w:p>
    <w:p>
      <w:pPr>
        <w:spacing w:before="40" w:after="40"/>
        <w:pBdr>
          <w:bottom w:val="single" w:sz="4" w:space="1" w:color="2F5496"/>
        </w:pBdr>
      </w:pPr>
    </w:p>
    <w:p>
      <w:pPr>
        <w:pStyle w:val="Heading2"/>
      </w:pPr>
      <w:r>
        <w:t>2.4  Ver y Consultar Notas de un Estudiante</w:t>
      </w:r>
    </w:p>
    <w:p>
      <w:pPr>
        <w:spacing w:after="120"/>
      </w:pPr>
      <w:r>
        <w:t>Desde la lista de estudiantes de su sección, puede consultar el historial completo de calificaciones.</w:t>
      </w:r>
    </w:p>
    <w:p>
      <w:pPr>
        <w:spacing w:after="100"/>
        <w:ind w:left="288"/>
      </w:pPr>
      <w:r>
        <w:rPr>
          <w:b/>
          <w:color w:val="2F5496"/>
        </w:rPr>
        <w:t xml:space="preserve">Paso 1: </w:t>
      </w:r>
      <w:r>
        <w:t>En la lista de estudiantes, haga clic en el botón «Ver Notas» junto al nombre del estudiante que desea consultar.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Lista de estudiantes de la sección con el botón 'Ver Notas' resaltado junto a un nombre de estudiante</w:t>
      </w:r>
    </w:p>
    <w:p>
      <w:pPr>
        <w:spacing w:after="100"/>
        <w:ind w:left="288"/>
      </w:pPr>
      <w:r>
        <w:rPr>
          <w:b/>
          <w:color w:val="2F5496"/>
        </w:rPr>
        <w:t xml:space="preserve">Paso 2: </w:t>
      </w:r>
      <w:r>
        <w:t>Verá la «Libreta Digital» del estudiante: una ficha con su nombre, DNI, grado, sección y año lectivo en la parte superior.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Ficha de identificación del estudiante en la parte superior de la pantalla de notas, con su avatar con iniciales, nombre completo, DNI, grado-sección y año lectivo</w:t>
      </w:r>
    </w:p>
    <w:p>
      <w:pPr>
        <w:spacing w:after="100"/>
        <w:ind w:left="288"/>
      </w:pPr>
      <w:r>
        <w:rPr>
          <w:b/>
          <w:color w:val="2F5496"/>
        </w:rPr>
        <w:t xml:space="preserve">Paso 3: </w:t>
      </w:r>
      <w:r>
        <w:t>Debajo de la ficha, verá una tabla por cada curso. Cada tabla tiene:</w:t>
      </w:r>
    </w:p>
    <w:p>
      <w:pPr>
        <w:pStyle w:val="ListBullet"/>
        <w:spacing w:after="60"/>
        <w:ind w:left="720"/>
      </w:pPr>
      <w:r>
        <w:t>La columna «Competencias»: lista las competencias o capacidades evaluadas en ese curso.</w:t>
      </w:r>
    </w:p>
    <w:p>
      <w:pPr>
        <w:pStyle w:val="ListBullet"/>
        <w:spacing w:after="60"/>
        <w:ind w:left="720"/>
      </w:pPr>
      <w:r>
        <w:t>Las columnas «B1», «B2», «B3», «B4»: muestran la nota de cada bimestre para esa competencia.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Tabla de notas de un curso (ej: Matemática) con filas de competencias y columnas B1, B2, B3, B4. Las notas se muestran con colores: AD en morado/azul, A en verde, B en amarillo, C en rojo</w:t>
      </w:r>
    </w:p>
    <w:p>
      <w:pPr>
        <w:spacing w:after="100"/>
        <w:ind w:left="288"/>
      </w:pPr>
      <w:r>
        <w:rPr>
          <w:b/>
          <w:color w:val="2F5496"/>
        </w:rPr>
        <w:t xml:space="preserve">Paso 4: </w:t>
      </w:r>
      <w:r>
        <w:t>Las notas se muestran con un código de colores para identificar rápidamente el nivel de logro:</w:t>
      </w:r>
    </w:p>
    <w:p>
      <w:pPr>
        <w:pStyle w:val="ListBullet"/>
        <w:spacing w:after="60"/>
        <w:ind w:left="720"/>
      </w:pPr>
      <w:r>
        <w:t>AD (morado/azul) — Logro Destacado: el estudiante supera los objetivos.</w:t>
      </w:r>
    </w:p>
    <w:p>
      <w:pPr>
        <w:pStyle w:val="ListBullet"/>
        <w:spacing w:after="60"/>
        <w:ind w:left="720"/>
      </w:pPr>
      <w:r>
        <w:t>A (verde) — Logro Esperado: el estudiante cumple los objetivos.</w:t>
      </w:r>
    </w:p>
    <w:p>
      <w:pPr>
        <w:pStyle w:val="ListBullet"/>
        <w:spacing w:after="60"/>
        <w:ind w:left="720"/>
      </w:pPr>
      <w:r>
        <w:t>B (amarillo/ámbar) — En Proceso: el estudiante está avanzando hacia los objetivos.</w:t>
      </w:r>
    </w:p>
    <w:p>
      <w:pPr>
        <w:pStyle w:val="ListBullet"/>
        <w:spacing w:after="60"/>
        <w:ind w:left="720"/>
      </w:pPr>
      <w:r>
        <w:t>C (rojo) — En Inicio: el estudiante requiere apoyo para alcanzar los objetivos.</w:t>
      </w:r>
    </w:p>
    <w:p>
      <w:pPr>
        <w:pStyle w:val="ListBullet"/>
        <w:spacing w:after="60"/>
        <w:ind w:left="720"/>
      </w:pPr>
      <w:r>
        <w:t>— (gris) — Sin nota: aún no se ha registrado calificación para ese período.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Leyenda de colores de notas o detalle de una tabla de notas mostrando los 4 colores diferentes: AD en azul, A en verde, B en ámbar, C en rojo</w:t>
      </w:r>
    </w:p>
    <w:p>
      <w:pPr>
        <w:spacing w:after="100"/>
        <w:ind w:left="288"/>
      </w:pPr>
      <w:r>
        <w:rPr>
          <w:b/>
          <w:color w:val="2F5496"/>
        </w:rPr>
        <w:t xml:space="preserve">Paso 5: </w:t>
      </w:r>
      <w:r>
        <w:t>Use el botón «← Atrás» en la parte superior izquierda para volver a la lista de estudiantes de la sección.</w:t>
      </w:r>
    </w:p>
    <w:p>
      <w:pPr>
        <w:spacing w:before="40" w:after="40"/>
        <w:pBdr>
          <w:bottom w:val="single" w:sz="4" w:space="1" w:color="2F5496"/>
        </w:pBdr>
      </w:pPr>
    </w:p>
    <w:p>
      <w:pPr>
        <w:pStyle w:val="Heading2"/>
      </w:pPr>
      <w:r>
        <w:t>2.5  Importar Notas Bimestrales (Docente Tutor)</w:t>
      </w:r>
    </w:p>
    <w:p>
      <w:pPr>
        <w:spacing w:after="120"/>
      </w:pPr>
      <w:r>
        <w:t>Los docentes que son Tutores de una sección pueden importar las notas bimestrales directamente desde un archivo Excel. Esta función solo está disponible para tutores.</w:t>
      </w:r>
    </w:p>
    <w:p>
      <w:pPr>
        <w:spacing w:after="100"/>
        <w:ind w:left="288"/>
      </w:pPr>
      <w:r>
        <w:rPr>
          <w:b/>
          <w:color w:val="2F5496"/>
        </w:rPr>
        <w:t xml:space="preserve">Paso 1: </w:t>
      </w:r>
      <w:r>
        <w:t>En el menú de navegación, haga clic en «Importar Notas».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importación de notas del docente con el formulario de subida de archivo y el selector de bimestre</w:t>
      </w:r>
    </w:p>
    <w:p>
      <w:pPr>
        <w:spacing w:after="100"/>
        <w:ind w:left="288"/>
      </w:pPr>
      <w:r>
        <w:rPr>
          <w:b/>
          <w:color w:val="2F5496"/>
        </w:rPr>
        <w:t xml:space="preserve">Paso 2: </w:t>
      </w:r>
      <w:r>
        <w:t>Seleccione el Bimestre para el cual está importando las notas (B1, B2, B3 o B4). Solo podrá importar a bimestres con estado «Abierto».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Selector de Bimestre con las opciones B1, B2, B3, B4 y el estado de cada uno indicado</w:t>
      </w:r>
    </w:p>
    <w:p>
      <w:pPr>
        <w:spacing w:after="100"/>
        <w:ind w:left="288"/>
      </w:pPr>
      <w:r>
        <w:rPr>
          <w:b/>
          <w:color w:val="2F5496"/>
        </w:rPr>
        <w:t xml:space="preserve">Paso 3: </w:t>
      </w:r>
      <w:r>
        <w:t>Seleccione o arrastre el archivo Excel con las notas al área de carga.</w:t>
      </w:r>
    </w:p>
    <w:p>
      <w:pPr>
        <w:spacing w:after="100"/>
        <w:ind w:left="288"/>
      </w:pPr>
      <w:r>
        <w:rPr>
          <w:b/>
          <w:color w:val="2F5496"/>
        </w:rPr>
        <w:t xml:space="preserve">Paso 4: </w:t>
      </w:r>
      <w:r>
        <w:t>Haga clic en «Vista Previa» para verificar que el archivo está siendo leído correctamente.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Vista previa del archivo de notas mostrando columnas: Estudiante, Competencia, y la nota (AD/A/B/C)</w:t>
      </w:r>
    </w:p>
    <w:p>
      <w:pPr>
        <w:spacing w:after="100"/>
        <w:ind w:left="288"/>
      </w:pPr>
      <w:r>
        <w:rPr>
          <w:b/>
          <w:color w:val="2F5496"/>
        </w:rPr>
        <w:t xml:space="preserve">Paso 5: </w:t>
      </w:r>
      <w:r>
        <w:t>Revise los datos. Si todo es correcto, haga clic en «Confirmar Importación».</w:t>
      </w:r>
    </w:p>
    <w:p>
      <w:pPr>
        <w:spacing w:after="100"/>
        <w:ind w:left="288"/>
      </w:pPr>
      <w:r>
        <w:rPr>
          <w:b/>
          <w:color w:val="2F5496"/>
        </w:rPr>
        <w:t xml:space="preserve">Paso 6: </w:t>
      </w:r>
      <w:r>
        <w:t>El sistema procesará el archivo y mostrará el resumen de notas importadas.</w:t>
      </w:r>
    </w:p>
    <w:p>
      <w:pPr>
        <w:spacing w:before="120" w:after="120"/>
        <w:ind w:left="288"/>
        <w:shd w:val="clear" w:color="auto" w:fill="FFE8E8"/>
      </w:pPr>
      <w:r>
        <w:rPr>
          <w:rFonts w:ascii="Calibri" w:hAnsi="Calibri"/>
          <w:i/>
          <w:sz w:val="20"/>
        </w:rPr>
        <w:t>⚠️ Si el bimestre está CERRADO, no podrá importar notas. Comuníquese con el administrador para que lo reabra si necesita hacer correcciones.</w:t>
      </w:r>
    </w:p>
    <w:p>
      <w:r>
        <w:br w:type="page"/>
      </w:r>
    </w:p>
    <w:p>
      <w:pPr>
        <w:pStyle w:val="Heading1"/>
      </w:pPr>
      <w:r>
        <w:t>Apéndice A — Preguntas Frecuentes (FAQ)</w:t>
      </w:r>
    </w:p>
    <w:p>
      <w:r>
        <w:rPr>
          <w:b/>
          <w:color w:val="1F3564"/>
        </w:rPr>
        <w:t>❓ ¿Qué hago si olvidé mi contraseña?</w:t>
      </w:r>
    </w:p>
    <w:p>
      <w:pPr>
        <w:spacing w:after="120"/>
      </w:pPr>
      <w:r>
        <w:t>En la pantalla de inicio de sesión, haga clic en '¿Olvidaste tu contraseña?'. Si tiene un correo electrónico registrado, recibirá un enlace para restablecerla. Si no tiene correo registrado, comuníquese con el administrador del colegio para que restablezca su acceso.</w:t>
      </w:r>
    </w:p>
    <w:p/>
    <w:p>
      <w:r>
        <w:rPr>
          <w:b/>
          <w:color w:val="1F3564"/>
        </w:rPr>
        <w:t>❓ ¿Por qué no puedo ver mis notas?</w:t>
      </w:r>
    </w:p>
    <w:p>
      <w:pPr>
        <w:spacing w:after="120"/>
      </w:pPr>
      <w:r>
        <w:t>Las notas solo son visibles para los estudiantes después de que el administrador publique los resultados del bimestre. Si el bimestre aún está en curso o el administrador no ha activado la publicación, las notas no estarán disponibles.</w:t>
      </w:r>
    </w:p>
    <w:p/>
    <w:p>
      <w:r>
        <w:rPr>
          <w:b/>
          <w:color w:val="1F3564"/>
        </w:rPr>
        <w:t>❓ ¿Puedo cambiar mi contraseña en cualquier momento?</w:t>
      </w:r>
    </w:p>
    <w:p>
      <w:pPr>
        <w:spacing w:after="120"/>
      </w:pPr>
      <w:r>
        <w:t>Sí. Vaya a su Perfil (clic en su nombre en la esquina superior derecha) y busque la opción 'Cambiar Contraseña'. Necesitará ingresar su contraseña actual para confirmar el cambio.</w:t>
      </w:r>
    </w:p>
    <w:p/>
    <w:p>
      <w:r>
        <w:rPr>
          <w:b/>
          <w:color w:val="1F3564"/>
        </w:rPr>
        <w:t>❓ Como docente, ¿por qué no puedo ver las notas de ciertos cursos?</w:t>
      </w:r>
    </w:p>
    <w:p>
      <w:pPr>
        <w:spacing w:after="120"/>
      </w:pPr>
      <w:r>
        <w:t>Solo puede ver las notas de los cursos que tiene asignados. Si es tutor de una sección, puede ver todas las notas de esa sección. Si es especialista, solo verá las notas del curso que dicta en cada sección asignada.</w:t>
      </w:r>
    </w:p>
    <w:p/>
    <w:p>
      <w:r>
        <w:rPr>
          <w:b/>
          <w:color w:val="1F3564"/>
        </w:rPr>
        <w:t>❓ ¿Qué significa 'Bimestre Cerrado' y por qué no puedo importar notas?</w:t>
      </w:r>
    </w:p>
    <w:p>
      <w:pPr>
        <w:spacing w:after="120"/>
      </w:pPr>
      <w:r>
        <w:t>Un bimestre cerrado significa que el período de evaluación finalizó y el administrador calculó los promedios finales. Los docentes no pueden modificar notas de bimestres cerrados. Si necesita hacer una corrección, el administrador puede reabrir el bimestre temporalmente.</w:t>
      </w:r>
    </w:p>
    <w:p/>
    <w:p>
      <w:r>
        <w:rPr>
          <w:b/>
          <w:color w:val="1F3564"/>
        </w:rPr>
        <w:t>❓ ¿Puedo acceder al sistema desde mi celular?</w:t>
      </w:r>
    </w:p>
    <w:p>
      <w:pPr>
        <w:spacing w:after="120"/>
      </w:pPr>
      <w:r>
        <w:t>Sí. El sistema funciona en navegadores móviles (Chrome, Safari). Se recomienda usar el modo horizontal para ver mejor las tablas de notas.</w:t>
      </w:r>
    </w:p>
    <w:p/>
    <w:p>
      <w:pPr>
        <w:pStyle w:val="Heading1"/>
      </w:pPr>
      <w:r>
        <w:t>Apéndice B — Escala de Calificaciones</w:t>
      </w:r>
    </w:p>
    <w:p>
      <w:pPr>
        <w:spacing w:after="120"/>
      </w:pPr>
      <w:r>
        <w:t>El sistema utiliza la escala de calificación literal del Currículo Nacional de Educación Básica (CNEB) del Ministerio de Educación del Perú:</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564"/>
          </w:tcPr>
          <w:p>
            <w:pPr>
              <w:jc w:val="center"/>
            </w:pPr>
            <w:r>
              <w:rPr>
                <w:b/>
                <w:color w:val="FFFFFF"/>
              </w:rPr>
              <w:t>Calificación</w:t>
            </w:r>
          </w:p>
        </w:tc>
        <w:tc>
          <w:tcPr>
            <w:tcW w:type="dxa" w:w="3024"/>
            <w:shd w:val="clear" w:color="auto" w:fill="1F3564"/>
          </w:tcPr>
          <w:p>
            <w:pPr>
              <w:jc w:val="center"/>
            </w:pPr>
            <w:r>
              <w:rPr>
                <w:b/>
                <w:color w:val="FFFFFF"/>
              </w:rPr>
              <w:t>Descripción</w:t>
            </w:r>
          </w:p>
        </w:tc>
        <w:tc>
          <w:tcPr>
            <w:tcW w:type="dxa" w:w="3024"/>
            <w:shd w:val="clear" w:color="auto" w:fill="1F3564"/>
          </w:tcPr>
          <w:p>
            <w:pPr>
              <w:jc w:val="center"/>
            </w:pPr>
            <w:r>
              <w:rPr>
                <w:b/>
                <w:color w:val="FFFFFF"/>
              </w:rPr>
              <w:t>Significado</w:t>
            </w:r>
          </w:p>
        </w:tc>
      </w:tr>
      <w:tr>
        <w:tc>
          <w:tcPr>
            <w:tcW w:type="dxa" w:w="3024"/>
            <w:shd w:val="clear" w:color="auto" w:fill="E8F0FF"/>
          </w:tcPr>
          <w:p>
            <w:pPr>
              <w:jc w:val="center"/>
            </w:pPr>
            <w:r>
              <w:rPr>
                <w:b/>
              </w:rPr>
              <w:t>AD</w:t>
            </w:r>
          </w:p>
        </w:tc>
        <w:tc>
          <w:tcPr>
            <w:tcW w:type="dxa" w:w="3024"/>
            <w:shd w:val="clear" w:color="auto" w:fill="E8F0FF"/>
          </w:tcPr>
          <w:p>
            <w:r>
              <w:rPr>
                <w:b/>
              </w:rPr>
              <w:t>Logro Destacado</w:t>
            </w:r>
          </w:p>
        </w:tc>
        <w:tc>
          <w:tcPr>
            <w:tcW w:type="dxa" w:w="3024"/>
            <w:shd w:val="clear" w:color="auto" w:fill="E8F0FF"/>
          </w:tcPr>
          <w:p>
            <w:r>
              <w:t>El estudiante evidencia un nivel superior al esperado. Demuestra aprendizajes que van más allá del nivel de logro esperado.</w:t>
            </w:r>
          </w:p>
        </w:tc>
      </w:tr>
      <w:tr>
        <w:tc>
          <w:tcPr>
            <w:tcW w:type="dxa" w:w="3024"/>
            <w:shd w:val="clear" w:color="auto" w:fill="E8FFE8"/>
          </w:tcPr>
          <w:p>
            <w:pPr>
              <w:jc w:val="center"/>
            </w:pPr>
            <w:r>
              <w:rPr>
                <w:b/>
              </w:rPr>
              <w:t>A</w:t>
            </w:r>
          </w:p>
        </w:tc>
        <w:tc>
          <w:tcPr>
            <w:tcW w:type="dxa" w:w="3024"/>
            <w:shd w:val="clear" w:color="auto" w:fill="E8FFE8"/>
          </w:tcPr>
          <w:p>
            <w:r>
              <w:rPr>
                <w:b/>
              </w:rPr>
              <w:t>Logro Esperado</w:t>
            </w:r>
          </w:p>
        </w:tc>
        <w:tc>
          <w:tcPr>
            <w:tcW w:type="dxa" w:w="3024"/>
            <w:shd w:val="clear" w:color="auto" w:fill="E8FFE8"/>
          </w:tcPr>
          <w:p>
            <w:r>
              <w:t>El estudiante evidencia el nivel esperado respecto a la competencia, demostrando manejo satisfactorio en las tareas propuestas.</w:t>
            </w:r>
          </w:p>
        </w:tc>
      </w:tr>
      <w:tr>
        <w:tc>
          <w:tcPr>
            <w:tcW w:type="dxa" w:w="3024"/>
            <w:shd w:val="clear" w:color="auto" w:fill="FFFCE8"/>
          </w:tcPr>
          <w:p>
            <w:pPr>
              <w:jc w:val="center"/>
            </w:pPr>
            <w:r>
              <w:rPr>
                <w:b/>
              </w:rPr>
              <w:t>B</w:t>
            </w:r>
          </w:p>
        </w:tc>
        <w:tc>
          <w:tcPr>
            <w:tcW w:type="dxa" w:w="3024"/>
            <w:shd w:val="clear" w:color="auto" w:fill="FFFCE8"/>
          </w:tcPr>
          <w:p>
            <w:r>
              <w:rPr>
                <w:b/>
              </w:rPr>
              <w:t>En Proceso</w:t>
            </w:r>
          </w:p>
        </w:tc>
        <w:tc>
          <w:tcPr>
            <w:tcW w:type="dxa" w:w="3024"/>
            <w:shd w:val="clear" w:color="auto" w:fill="FFFCE8"/>
          </w:tcPr>
          <w:p>
            <w:r>
              <w:t>El estudiante está próximo o cerca al nivel esperado, para lo cual requiere acompañamiento durante un tiempo razonable.</w:t>
            </w:r>
          </w:p>
        </w:tc>
      </w:tr>
      <w:tr>
        <w:tc>
          <w:tcPr>
            <w:tcW w:type="dxa" w:w="3024"/>
            <w:shd w:val="clear" w:color="auto" w:fill="FFE8E8"/>
          </w:tcPr>
          <w:p>
            <w:pPr>
              <w:jc w:val="center"/>
            </w:pPr>
            <w:r>
              <w:rPr>
                <w:b/>
              </w:rPr>
              <w:t>C</w:t>
            </w:r>
          </w:p>
        </w:tc>
        <w:tc>
          <w:tcPr>
            <w:tcW w:type="dxa" w:w="3024"/>
            <w:shd w:val="clear" w:color="auto" w:fill="FFE8E8"/>
          </w:tcPr>
          <w:p>
            <w:r>
              <w:rPr>
                <w:b/>
              </w:rPr>
              <w:t>En Inicio</w:t>
            </w:r>
          </w:p>
        </w:tc>
        <w:tc>
          <w:tcPr>
            <w:tcW w:type="dxa" w:w="3024"/>
            <w:shd w:val="clear" w:color="auto" w:fill="FFE8E8"/>
          </w:tcPr>
          <w:p>
            <w:r>
              <w:t>El estudiante muestra progreso mínimo en una competencia. Evidencia dificultades y necesita mayor tiempo de acompañamiento e intervención.</w:t>
            </w:r>
          </w:p>
        </w:tc>
      </w:tr>
    </w:tbl>
    <w:p/>
    <w:p>
      <w:pPr>
        <w:spacing w:before="600"/>
        <w:jc w:val="center"/>
      </w:pPr>
      <w:r>
        <w:rPr>
          <w:rFonts w:ascii="Calibri" w:hAnsi="Calibri"/>
          <w:i/>
          <w:color w:val="2F5496"/>
          <w:sz w:val="24"/>
        </w:rPr>
        <w:t>— Fin del Manual —</w:t>
      </w:r>
    </w:p>
    <w:p>
      <w:pPr>
        <w:jc w:val="center"/>
      </w:pPr>
      <w:r>
        <w:rPr>
          <w:rFonts w:ascii="Calibri" w:hAnsi="Calibri"/>
          <w:color w:val="808080"/>
          <w:sz w:val="18"/>
        </w:rPr>
        <w:t>Versión 1.0 | I.E.P. Santísima Cruz | 2026</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F5132"/>
      <w:sz w:val="36"/>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1F7A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p">
    <w:name w:val="Tip"/>
    <w:rPr>
      <w:rFonts w:ascii="Calibri" w:hAnsi="Calibri"/>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