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53379810"/>
        <w:docPartObj>
          <w:docPartGallery w:val="Cover Pages"/>
          <w:docPartUnique/>
        </w:docPartObj>
      </w:sdtPr>
      <w:sdtEndPr/>
      <w:sdtContent>
        <w:p w14:paraId="0AAFD889" w14:textId="38698A97" w:rsidR="00E027BC" w:rsidRDefault="006262F7">
          <w:pPr>
            <w:sectPr w:rsidR="00E027BC" w:rsidSect="00E027BC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 w:code="1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13742F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A302E2" wp14:editId="131D7D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3711307</wp:posOffset>
                    </wp:positionV>
                    <wp:extent cx="5619750" cy="1015365"/>
                    <wp:effectExtent l="0" t="0" r="0" b="0"/>
                    <wp:wrapNone/>
                    <wp:docPr id="106" name="CuadroTexto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9750" cy="1015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F667B5" w14:textId="131931E7" w:rsidR="004E54AA" w:rsidRPr="001A75BE" w:rsidRDefault="004E54AA" w:rsidP="00292C3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orbel" w:hAnsi="Corbel" w:cstheme="minorBidi"/>
                                    <w:b/>
                                    <w:color w:val="1E5155" w:themeColor="text2"/>
                                    <w:kern w:val="24"/>
                                    <w:sz w:val="40"/>
                                    <w:szCs w:val="40"/>
                                    <w:lang w:val="es-CO"/>
                                  </w:rPr>
                                </w:pPr>
                                <w:r w:rsidRPr="001A75BE">
                                  <w:rPr>
                                    <w:rFonts w:ascii="Corbel" w:hAnsi="Corbel" w:cstheme="minorBidi"/>
                                    <w:b/>
                                    <w:color w:val="1E5155" w:themeColor="text2"/>
                                    <w:kern w:val="24"/>
                                    <w:sz w:val="40"/>
                                    <w:szCs w:val="40"/>
                                    <w:lang w:val="es-CO"/>
                                  </w:rPr>
                                  <w:t>P</w:t>
                                </w:r>
                                <w:r>
                                  <w:rPr>
                                    <w:rFonts w:ascii="Corbel" w:hAnsi="Corbel" w:cstheme="minorBidi"/>
                                    <w:b/>
                                    <w:color w:val="1E5155" w:themeColor="text2"/>
                                    <w:kern w:val="24"/>
                                    <w:sz w:val="40"/>
                                    <w:szCs w:val="40"/>
                                    <w:lang w:val="es-CO"/>
                                  </w:rPr>
                                  <w:t>LAN DE CONTINUIDAD</w:t>
                                </w:r>
                              </w:p>
                              <w:p w14:paraId="538BE673" w14:textId="77777777" w:rsidR="004E54AA" w:rsidRPr="001A75BE" w:rsidRDefault="004E54AA" w:rsidP="00292C3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orbel" w:hAnsi="Corbel"/>
                                    <w:b/>
                                    <w:color w:val="1E5155" w:themeColor="text2"/>
                                  </w:rPr>
                                </w:pPr>
                              </w:p>
                              <w:p w14:paraId="5648FE98" w14:textId="77777777" w:rsidR="004E54AA" w:rsidRPr="001A75BE" w:rsidRDefault="004E54AA" w:rsidP="00292C3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orbel" w:hAnsi="Corbel" w:cstheme="minorBidi"/>
                                    <w:color w:val="1E5155" w:themeColor="text2"/>
                                    <w:kern w:val="24"/>
                                    <w:sz w:val="36"/>
                                    <w:szCs w:val="40"/>
                                    <w:lang w:val="es-CO"/>
                                  </w:rPr>
                                </w:pPr>
                                <w:r w:rsidRPr="001A75BE">
                                  <w:rPr>
                                    <w:rFonts w:ascii="Corbel" w:hAnsi="Corbel" w:cstheme="minorBidi"/>
                                    <w:color w:val="1E5155" w:themeColor="text2"/>
                                    <w:kern w:val="24"/>
                                    <w:sz w:val="36"/>
                                    <w:szCs w:val="40"/>
                                    <w:lang w:val="es-CO"/>
                                  </w:rPr>
                                  <w:t>Centro de Servicios Civil Familia de Manizales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DA302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105" o:spid="_x0000_s1026" type="#_x0000_t202" style="position:absolute;left:0;text-align:left;margin-left:0;margin-top:292.25pt;width:442.5pt;height:79.9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" filled="f" stroked="f">
                    <v:textbox style="mso-fit-shape-to-text:t">
                      <w:txbxContent>
                        <w:p w14:paraId="4CF667B5" w14:textId="131931E7" w:rsidR="004E54AA" w:rsidRPr="001A75BE" w:rsidRDefault="004E54AA" w:rsidP="00292C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orbel" w:hAnsi="Corbel" w:cstheme="minorBidi"/>
                              <w:b/>
                              <w:color w:val="1E5155" w:themeColor="text2"/>
                              <w:kern w:val="24"/>
                              <w:sz w:val="40"/>
                              <w:szCs w:val="40"/>
                              <w:lang w:val="es-CO"/>
                            </w:rPr>
                          </w:pPr>
                          <w:r w:rsidRPr="001A75BE">
                            <w:rPr>
                              <w:rFonts w:ascii="Corbel" w:hAnsi="Corbel" w:cstheme="minorBidi"/>
                              <w:b/>
                              <w:color w:val="1E5155" w:themeColor="text2"/>
                              <w:kern w:val="24"/>
                              <w:sz w:val="40"/>
                              <w:szCs w:val="40"/>
                              <w:lang w:val="es-CO"/>
                            </w:rPr>
                            <w:t>P</w:t>
                          </w:r>
                          <w:r>
                            <w:rPr>
                              <w:rFonts w:ascii="Corbel" w:hAnsi="Corbel" w:cstheme="minorBidi"/>
                              <w:b/>
                              <w:color w:val="1E5155" w:themeColor="text2"/>
                              <w:kern w:val="24"/>
                              <w:sz w:val="40"/>
                              <w:szCs w:val="40"/>
                              <w:lang w:val="es-CO"/>
                            </w:rPr>
                            <w:t>LAN DE CONTINUIDAD</w:t>
                          </w:r>
                        </w:p>
                        <w:p w14:paraId="538BE673" w14:textId="77777777" w:rsidR="004E54AA" w:rsidRPr="001A75BE" w:rsidRDefault="004E54AA" w:rsidP="00292C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orbel" w:hAnsi="Corbel"/>
                              <w:b/>
                              <w:color w:val="1E5155" w:themeColor="text2"/>
                            </w:rPr>
                          </w:pPr>
                        </w:p>
                        <w:p w14:paraId="5648FE98" w14:textId="77777777" w:rsidR="004E54AA" w:rsidRPr="001A75BE" w:rsidRDefault="004E54AA" w:rsidP="00292C3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orbel" w:hAnsi="Corbel" w:cstheme="minorBidi"/>
                              <w:color w:val="1E5155" w:themeColor="text2"/>
                              <w:kern w:val="24"/>
                              <w:sz w:val="36"/>
                              <w:szCs w:val="40"/>
                              <w:lang w:val="es-CO"/>
                            </w:rPr>
                          </w:pPr>
                          <w:r w:rsidRPr="001A75BE">
                            <w:rPr>
                              <w:rFonts w:ascii="Corbel" w:hAnsi="Corbel" w:cstheme="minorBidi"/>
                              <w:color w:val="1E5155" w:themeColor="text2"/>
                              <w:kern w:val="24"/>
                              <w:sz w:val="36"/>
                              <w:szCs w:val="40"/>
                              <w:lang w:val="es-CO"/>
                            </w:rPr>
                            <w:t>Centro de Servicios Civil Familia de Manizales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AA83A4C" wp14:editId="483D2C6F">
                    <wp:simplePos x="0" y="0"/>
                    <wp:positionH relativeFrom="column">
                      <wp:posOffset>-2823210</wp:posOffset>
                    </wp:positionH>
                    <wp:positionV relativeFrom="paragraph">
                      <wp:posOffset>-2309495</wp:posOffset>
                    </wp:positionV>
                    <wp:extent cx="10229215" cy="11468100"/>
                    <wp:effectExtent l="57150" t="38100" r="57785" b="7620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229215" cy="11468100"/>
                              <a:chOff x="0" y="0"/>
                              <a:chExt cx="10229215" cy="11468100"/>
                            </a:xfrm>
                          </wpg:grpSpPr>
                          <wps:wsp>
                            <wps:cNvPr id="10" name="Triángulo isósceles 10"/>
                            <wps:cNvSpPr/>
                            <wps:spPr>
                              <a:xfrm>
                                <a:off x="3981450" y="10144125"/>
                                <a:ext cx="874395" cy="79819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riángulo isósceles 12"/>
                            <wps:cNvSpPr/>
                            <wps:spPr>
                              <a:xfrm rot="10800000">
                                <a:off x="3067050" y="10163175"/>
                                <a:ext cx="1353185" cy="12642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riángulo isósceles 18"/>
                            <wps:cNvSpPr/>
                            <wps:spPr>
                              <a:xfrm>
                                <a:off x="8829675" y="10201275"/>
                                <a:ext cx="1399540" cy="12668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riángulo isósceles 19"/>
                            <wps:cNvSpPr/>
                            <wps:spPr>
                              <a:xfrm rot="10800000">
                                <a:off x="8124825" y="10201275"/>
                                <a:ext cx="1399540" cy="12668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riángulo isósceles 20"/>
                            <wps:cNvSpPr/>
                            <wps:spPr>
                              <a:xfrm>
                                <a:off x="8143875" y="8924925"/>
                                <a:ext cx="1399540" cy="12668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riángulo isósceles 28"/>
                            <wps:cNvSpPr/>
                            <wps:spPr>
                              <a:xfrm>
                                <a:off x="2390775" y="10153650"/>
                                <a:ext cx="1353185" cy="12642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riángulo isósceles 29"/>
                            <wps:cNvSpPr/>
                            <wps:spPr>
                              <a:xfrm rot="10800000">
                                <a:off x="0" y="1400175"/>
                                <a:ext cx="3481070" cy="396494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riángulo isósceles 31"/>
                            <wps:cNvSpPr/>
                            <wps:spPr>
                              <a:xfrm>
                                <a:off x="2838450" y="0"/>
                                <a:ext cx="2486025" cy="2852420"/>
                              </a:xfrm>
                              <a:prstGeom prst="triangle">
                                <a:avLst>
                                  <a:gd name="adj" fmla="val 49388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riángulo isósceles 32"/>
                            <wps:cNvSpPr/>
                            <wps:spPr>
                              <a:xfrm rot="10800000">
                                <a:off x="1714500" y="10153650"/>
                                <a:ext cx="1353185" cy="12642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riángulo isósceles 33"/>
                            <wps:cNvSpPr/>
                            <wps:spPr>
                              <a:xfrm>
                                <a:off x="342900" y="7296150"/>
                                <a:ext cx="2724785" cy="2852420"/>
                              </a:xfrm>
                              <a:prstGeom prst="triangle">
                                <a:avLst>
                                  <a:gd name="adj" fmla="val 49388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riángulo isósceles 34"/>
                            <wps:cNvSpPr/>
                            <wps:spPr>
                              <a:xfrm>
                                <a:off x="8829675" y="1409700"/>
                                <a:ext cx="1399540" cy="12668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riángulo isósceles 35"/>
                            <wps:cNvSpPr/>
                            <wps:spPr>
                              <a:xfrm rot="10800000">
                                <a:off x="8134350" y="1409700"/>
                                <a:ext cx="1399540" cy="12668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riángulo isósceles 36"/>
                            <wps:cNvSpPr/>
                            <wps:spPr>
                              <a:xfrm>
                                <a:off x="7924800" y="1866900"/>
                                <a:ext cx="904240" cy="8001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3BAC41C" id="Grupo 4" o:spid="_x0000_s1026" style="position:absolute;margin-left:-222.3pt;margin-top:-181.85pt;width:805.45pt;height:903pt;z-index:251673600" coordsize="102292,1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10" o:spid="_x0000_s1027" type="#_x0000_t5" style="position:absolute;left:39814;top:101441;width:8744;height: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BnsUA&#10;AADbAAAADwAAAGRycy9kb3ducmV2LnhtbESPQWvCQBCF7wX/wzKCl1I3WiiSuooIQhVaaNT7NDvN&#10;RrOzaXbV9N93DgVvM7w3730zX/a+UVfqYh3YwGScgSIug625MnDYb55moGJCttgEJgO/FGG5GDzM&#10;Mbfhxp90LVKlJIRjjgZcSm2udSwdeYzj0BKL9h06j0nWrtK2w5uE+0ZPs+xFe6xZGhy2tHZUnouL&#10;N1DtHndtcdyffkKw7x9fx+3zxW2NGQ371SuoRH26m/+v36zgC738Ig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8GexQAAANsAAAAPAAAAAAAAAAAAAAAAAJgCAABkcnMv&#10;ZG93bnJldi54bWxQSwUGAAAAAAQABAD1AAAAigMAAAAA&#10;" fillcolor="#6aac90 [3207]" stroked="f">
                      <v:shadow on="t" color="black" opacity="41287f" offset="0,1.5pt"/>
                    </v:shape>
                    <v:shape id="Triángulo isósceles 12" o:spid="_x0000_s1028" type="#_x0000_t5" style="position:absolute;left:30670;top:101631;width:13532;height:1264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u28EA&#10;AADbAAAADwAAAGRycy9kb3ducmV2LnhtbERPzWrCQBC+F/oOyxS8FN0YaCjRTbCVgj0afYBpdkyi&#10;2dmY3Sbx7V2h0Nt8fL+zzifTioF611hWsFxEIIhLqxuuFBwPX/N3EM4ja2wtk4IbOciz56c1ptqO&#10;vKeh8JUIIexSVFB736VSurImg25hO+LAnWxv0AfYV1L3OIZw08o4ihJpsOHQUGNHnzWVl+LXKPjY&#10;vh3ja3dNBv2TkPt+Lcbp3Cg1e5k2KxCeJv8v/nPvdJgfw+OXcIDM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G7tvBAAAA2wAAAA8AAAAAAAAAAAAAAAAAmAIAAGRycy9kb3du&#10;cmV2LnhtbFBLBQYAAAAABAAEAPUAAACGAwAAAAA=&#10;" fillcolor="#ea6312 [3205]" stroked="f">
                      <v:shadow on="t" color="black" opacity="41287f" offset="0,1.5pt"/>
                    </v:shape>
                    <v:shape id="Triángulo isósceles 18" o:spid="_x0000_s1029" type="#_x0000_t5" style="position:absolute;left:88296;top:102012;width:13996;height:1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qnMAA&#10;AADbAAAADwAAAGRycy9kb3ducmV2LnhtbESPT4vCMBDF74LfIcyCN013BdFqFBUWevUPnodmbIvN&#10;pDRZzfrpnYPgbYb35r3frDbJtepOfWg8G/ieZKCIS28brgycT7/jOagQkS22nsnAPwXYrIeDFebW&#10;P/hA92OslIRwyNFAHWOXax3KmhyGie+IRbv63mGUta+07fEh4a7VP1k20w4bloYaO9rXVN6Of85A&#10;gbRPi6by5/DcTefF7ZLC9GLM6Cttl6Aipfgxv68LK/gCK7/IAHr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5qnMAAAADbAAAADwAAAAAAAAAAAAAAAACYAgAAZHJzL2Rvd25y&#10;ZXYueG1sUEsFBgAAAAAEAAQA9QAAAIUDAAAAAA==&#10;" fillcolor="#54849a [3208]" stroked="f">
                      <v:shadow on="t" color="black" opacity="41287f" offset="0,1.5pt"/>
                    </v:shape>
                    <v:shape id="Triángulo isósceles 19" o:spid="_x0000_s1030" type="#_x0000_t5" style="position:absolute;left:81248;top:102012;width:13995;height:1266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DrMAA&#10;AADbAAAADwAAAGRycy9kb3ducmV2LnhtbERPTYvCMBC9C/6HMII3TfXgutUoiyAo3Ytul70OzZiW&#10;bSa1iVr/vREEb/N4n7Ncd7YWV2p95VjBZJyAIC6crtgoyH+2ozkIH5A11o5JwZ08rFf93hJT7W58&#10;oOsxGBFD2KeooAyhSaX0RUkW/dg1xJE7udZiiLA1Urd4i+G2ltMkmUmLFceGEhvalFT8Hy9WwS7J&#10;a1OFP3v+bjZm/5tlmT98KDUcdF8LEIG68Ba/3Dsd53/C85d4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xDrMAAAADbAAAADwAAAAAAAAAAAAAAAACYAgAAZHJzL2Rvd25y&#10;ZXYueG1sUEsFBgAAAAAEAAQA9QAAAIUDAAAAAA==&#10;" fillcolor="#b01513 [3204]" stroked="f">
                      <v:shadow on="t" color="black" opacity="41287f" offset="0,1.5pt"/>
                    </v:shape>
                    <v:shape id="Triángulo isósceles 20" o:spid="_x0000_s1031" type="#_x0000_t5" style="position:absolute;left:81438;top:89249;width:13996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2/9L8A&#10;AADbAAAADwAAAGRycy9kb3ducmV2LnhtbERPy2oCMRTdF/yHcAtuimYULDo1yiCUVlf18QGXye0k&#10;dHIzJFHHfr1ZCC4P571c964VFwrRelYwGRcgiGuvLTcKTsfP0RxETMgaW8+k4EYR1qvByxJL7a+8&#10;p8shNSKHcCxRgUmpK6WMtSGHcew74sz9+uAwZRgaqQNec7hr5bQo3qVDy7nBYEcbQ/Xf4ewUVNLK&#10;xfbLdrsY3maE1dH89P9KDV/76gNEoj49xQ/3t1Ywzevzl/wD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vb/0vwAAANsAAAAPAAAAAAAAAAAAAAAAAJgCAABkcnMvZG93bnJl&#10;di54bWxQSwUGAAAAAAQABAD1AAAAhAMAAAAA&#10;" fillcolor="#ea6312 [3205]" stroked="f">
                      <v:shadow on="t" color="black" opacity="41287f" offset="0,1.5pt"/>
                    </v:shape>
                    <v:shape id="Triángulo isósceles 28" o:spid="_x0000_s1032" type="#_x0000_t5" style="position:absolute;left:23907;top:101536;width:13532;height:1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0HJcAA&#10;AADbAAAADwAAAGRycy9kb3ducmV2LnhtbERPTYvCMBC9L/gfwgheFk1VWKRrFBEEFRS26n22mW26&#10;NpPaRK3/3hwEj4/3PZ23thI3anzpWMFwkIAgzp0uuVBwPKz6ExA+IGusHJOCB3mYzzofU0y1u/MP&#10;3bJQiBjCPkUFJoQ6ldLnhiz6gauJI/fnGoshwqaQusF7DLeVHCXJl7RYcmwwWNPSUH7OrlZBsf3c&#10;1tnp8H9xTu/2v6fN+Go2SvW67eIbRKA2vMUv91orGMWx8Uv8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0HJcAAAADbAAAADwAAAAAAAAAAAAAAAACYAgAAZHJzL2Rvd25y&#10;ZXYueG1sUEsFBgAAAAAEAAQA9QAAAIUDAAAAAA==&#10;" fillcolor="#6aac90 [3207]" stroked="f">
                      <v:shadow on="t" color="black" opacity="41287f" offset="0,1.5pt"/>
                    </v:shape>
                    <v:shape id="Triángulo isósceles 29" o:spid="_x0000_s1033" type="#_x0000_t5" style="position:absolute;top:14001;width:34810;height:3965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JEcQA&#10;AADbAAAADwAAAGRycy9kb3ducmV2LnhtbESPQWvCQBSE74X+h+UVequb5lA1ugklULDEixrx+sg+&#10;N8Hs2zS71fTfdwsFj8PMfMOsi8n24kqj7xwreJ0lIIgbpzs2CurDx8sChA/IGnvHpOCHPBT548Ma&#10;M+1uvKPrPhgRIewzVNCGMGRS+qYli37mBuLond1oMUQ5GqlHvEW47WWaJG/SYsdxocWBypaay/7b&#10;KtgkdW+6cLJf26E0n8eqqvxurtTz0/S+AhFoCvfwf3ujFaRL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iRHEAAAA2wAAAA8AAAAAAAAAAAAAAAAAmAIAAGRycy9k&#10;b3ducmV2LnhtbFBLBQYAAAAABAAEAPUAAACJAwAAAAA=&#10;" fillcolor="#b01513 [3204]" stroked="f">
                      <v:shadow on="t" color="black" opacity="41287f" offset="0,1.5pt"/>
                    </v:shape>
                    <v:shape id="Triángulo isósceles 31" o:spid="_x0000_s1034" type="#_x0000_t5" style="position:absolute;left:28384;width:24860;height:28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JmsQA&#10;AADbAAAADwAAAGRycy9kb3ducmV2LnhtbESP3WrCQBSE74W+w3IK3kjdxGIp0VXaoCUIClUf4JA9&#10;+aHZsyG7TdI+fbcgeDnMNzPMejuaRvTUudqygngegSDOra65VHC97J9eQTiPrLGxTAp+yMF28zBZ&#10;Y6LtwJ/Un30pQgm7BBVU3reJlC6vyKCb25Y4eIXtDPogu1LqDodQbhq5iKIXabDmsFBhS2lF+df5&#10;2yiYpUWgliUVv5f342H3cRqijJSaPo5vKxCeRn+Hb+lMK3iO4f9L+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iZrEAAAA2wAAAA8AAAAAAAAAAAAAAAAAmAIAAGRycy9k&#10;b3ducmV2LnhtbFBLBQYAAAAABAAEAPUAAACJAwAAAAA=&#10;" adj="10668" fillcolor="#6aac90 [3207]" stroked="f">
                      <v:shadow on="t" color="black" opacity="41287f" offset="0,1.5pt"/>
                    </v:shape>
                    <v:shape id="Triángulo isósceles 32" o:spid="_x0000_s1035" type="#_x0000_t5" style="position:absolute;left:17145;top:101536;width:13531;height:1264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2NvcQA&#10;AADbAAAADwAAAGRycy9kb3ducmV2LnhtbESPQWvCQBSE74X+h+UVequbpqAS3YQSKFjiRY14fWSf&#10;m2D2bZrdavrvu4WCx2FmvmHWxWR7caXRd44VvM4SEMSN0x0bBfXh42UJwgdkjb1jUvBDHor88WGN&#10;mXY33tF1H4yIEPYZKmhDGDIpfdOSRT9zA3H0zm60GKIcjdQj3iLc9jJNkrm02HFcaHGgsqXmsv+2&#10;CjZJ3ZsunOzXdijN57GqKr9bKPX8NL2vQASawj38395oBW8p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jb3EAAAA2wAAAA8AAAAAAAAAAAAAAAAAmAIAAGRycy9k&#10;b3ducmV2LnhtbFBLBQYAAAAABAAEAPUAAACJAwAAAAA=&#10;" fillcolor="#b01513 [3204]" stroked="f">
                      <v:shadow on="t" color="black" opacity="41287f" offset="0,1.5pt"/>
                    </v:shape>
                    <v:shape id="Triángulo isósceles 33" o:spid="_x0000_s1036" type="#_x0000_t5" style="position:absolute;left:3429;top:72961;width:27247;height:28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68JcUA&#10;AADbAAAADwAAAGRycy9kb3ducmV2LnhtbESPT2vCQBTE7wW/w/IEb3WjViupq4hQCHjyz6HeXrLP&#10;bGj2bchuTfTTd4VCj8PM/IZZbXpbixu1vnKsYDJOQBAXTldcKjifPl+XIHxA1lg7JgV38rBZD15W&#10;mGrX8YFux1CKCGGfogITQpNK6QtDFv3YNcTRu7rWYoiyLaVusYtwW8tpkiykxYrjgsGGdoaK7+OP&#10;VfC1tVn+/ma6+WX3mFeXbp/lIVdqNOy3HyAC9eE//NfOtILZDJ5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rwlxQAAANsAAAAPAAAAAAAAAAAAAAAAAJgCAABkcnMv&#10;ZG93bnJldi54bWxQSwUGAAAAAAQABAD1AAAAigMAAAAA&#10;" adj="10668" fillcolor="#54849a [3208]" stroked="f">
                      <v:shadow on="t" color="black" opacity="41287f" offset="0,1.5pt"/>
                    </v:shape>
                    <v:shape id="Triángulo isósceles 34" o:spid="_x0000_s1037" type="#_x0000_t5" style="position:absolute;left:88296;top:14097;width:13996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vKsMA&#10;AADbAAAADwAAAGRycy9kb3ducmV2LnhtbESP3WoCMRSE7wu+QzhCb4pmbavoapSlUNp65d8DHDbH&#10;TXBzsiSpbvv0TaHQy2FmvmFWm9614kohWs8KJuMCBHHtteVGwen4OpqDiAlZY+uZFHxRhM16cLfC&#10;Uvsb7+l6SI3IEI4lKjApdaWUsTbkMI59R5y9sw8OU5ahkTrgLcNdKx+LYiYdWs4LBjt6MVRfDp9O&#10;QSWtXHy82W4bw8OUsDqaXf+t1P2wr5YgEvXpP/zXftcKnp7h90v+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8vKsMAAADbAAAADwAAAAAAAAAAAAAAAACYAgAAZHJzL2Rv&#10;d25yZXYueG1sUEsFBgAAAAAEAAQA9QAAAIgDAAAAAA==&#10;" fillcolor="#ea6312 [3205]" stroked="f">
                      <v:shadow on="t" color="black" opacity="41287f" offset="0,1.5pt"/>
                    </v:shape>
                    <v:shape id="Triángulo isósceles 35" o:spid="_x0000_s1038" type="#_x0000_t5" style="position:absolute;left:81343;top:14097;width:13995;height:1266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VycQA&#10;AADbAAAADwAAAGRycy9kb3ducmV2LnhtbESPQWvCQBSE7wX/w/IEb3VjpbWkriKCkJJeopZeH9nn&#10;Jph9m2bXJP333ULB4zAz3zDr7Wgb0VPna8cKFvMEBHHpdM1Gwfl0eHwF4QOyxsYxKfghD9vN5GGN&#10;qXYDF9QfgxERwj5FBVUIbSqlLyuy6OeuJY7exXUWQ5SdkbrDIcJtI5+S5EVarDkuVNjSvqLyerxZ&#10;BVlybkwdvuz3R7s37595nvtipdRsOu7eQAQawz383860guUz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0FcnEAAAA2wAAAA8AAAAAAAAAAAAAAAAAmAIAAGRycy9k&#10;b3ducmV2LnhtbFBLBQYAAAAABAAEAPUAAACJAwAAAAA=&#10;" fillcolor="#b01513 [3204]" stroked="f">
                      <v:shadow on="t" color="black" opacity="41287f" offset="0,1.5pt"/>
                    </v:shape>
                    <v:shape id="Triángulo isósceles 36" o:spid="_x0000_s1039" type="#_x0000_t5" style="position:absolute;left:79248;top:18669;width:904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gEcMA&#10;AADbAAAADwAAAGRycy9kb3ducmV2LnhtbESPQWsCMRSE74L/ITzBi9RsFaSsRhFBUEGha70/N6+b&#10;rZuX7Sbq+u+NUOhxmJlvmNmitZW4UeNLxwrehwkI4tzpkgsFX8f12wcIH5A1Vo5JwYM8LObdzgxT&#10;7e78SbcsFCJC2KeowIRQp1L63JBFP3Q1cfS+XWMxRNkUUjd4j3BbyVGSTKTFkuOCwZpWhvJLdrUK&#10;it1gV2en48+vc3p/OJ+246vZKtXvtcspiEBt+A//tTdawXgCr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egEcMAAADbAAAADwAAAAAAAAAAAAAAAACYAgAAZHJzL2Rv&#10;d25yZXYueG1sUEsFBgAAAAAEAAQA9QAAAIgDAAAAAA==&#10;" fillcolor="#6aac90 [3207]" stroked="f">
                      <v:shadow on="t" color="black" opacity="41287f" offset="0,1.5pt"/>
                    </v:shape>
                  </v:group>
                </w:pict>
              </mc:Fallback>
            </mc:AlternateContent>
          </w:r>
          <w:r w:rsidR="00E027BC" w:rsidRPr="0013742F">
            <w:rPr>
              <w:noProof/>
              <w:lang w:eastAsia="es-ES"/>
            </w:rPr>
            <w:drawing>
              <wp:anchor distT="0" distB="0" distL="114300" distR="114300" simplePos="0" relativeHeight="251656192" behindDoc="0" locked="0" layoutInCell="1" allowOverlap="1" wp14:anchorId="4FA979D9" wp14:editId="55342B68">
                <wp:simplePos x="0" y="0"/>
                <wp:positionH relativeFrom="column">
                  <wp:posOffset>443865</wp:posOffset>
                </wp:positionH>
                <wp:positionV relativeFrom="paragraph">
                  <wp:posOffset>6539230</wp:posOffset>
                </wp:positionV>
                <wp:extent cx="3021330" cy="981075"/>
                <wp:effectExtent l="0" t="0" r="0" b="0"/>
                <wp:wrapThrough wrapText="bothSides">
                  <wp:wrapPolygon edited="0">
                    <wp:start x="2860" y="419"/>
                    <wp:lineTo x="2043" y="1678"/>
                    <wp:lineTo x="136" y="6291"/>
                    <wp:lineTo x="409" y="15938"/>
                    <wp:lineTo x="2315" y="20551"/>
                    <wp:lineTo x="4358" y="20551"/>
                    <wp:lineTo x="9397" y="19713"/>
                    <wp:lineTo x="17160" y="16777"/>
                    <wp:lineTo x="17024" y="14680"/>
                    <wp:lineTo x="21382" y="13421"/>
                    <wp:lineTo x="21110" y="7969"/>
                    <wp:lineTo x="13347" y="7969"/>
                    <wp:lineTo x="12938" y="5033"/>
                    <wp:lineTo x="3813" y="419"/>
                    <wp:lineTo x="2860" y="419"/>
                  </wp:wrapPolygon>
                </wp:wrapThrough>
                <wp:docPr id="68" name="Imagen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n 67"/>
                        <pic:cNvPicPr>
                          <a:picLocks noChangeAspect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133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27BC">
            <w:rPr>
              <w:noProof/>
              <w:lang w:eastAsia="es-ES"/>
            </w:rPr>
            <w:drawing>
              <wp:anchor distT="0" distB="0" distL="114300" distR="114300" simplePos="0" relativeHeight="251657216" behindDoc="0" locked="0" layoutInCell="1" allowOverlap="1" wp14:anchorId="2AE8FD67" wp14:editId="06AF699D">
                <wp:simplePos x="0" y="0"/>
                <wp:positionH relativeFrom="column">
                  <wp:posOffset>4053840</wp:posOffset>
                </wp:positionH>
                <wp:positionV relativeFrom="paragraph">
                  <wp:posOffset>6379845</wp:posOffset>
                </wp:positionV>
                <wp:extent cx="1209675" cy="1196340"/>
                <wp:effectExtent l="0" t="0" r="9525" b="3810"/>
                <wp:wrapThrough wrapText="bothSides">
                  <wp:wrapPolygon edited="0">
                    <wp:start x="8504" y="0"/>
                    <wp:lineTo x="5102" y="344"/>
                    <wp:lineTo x="1361" y="4127"/>
                    <wp:lineTo x="1701" y="5503"/>
                    <wp:lineTo x="0" y="5847"/>
                    <wp:lineTo x="0" y="15134"/>
                    <wp:lineTo x="4422" y="16510"/>
                    <wp:lineTo x="2381" y="17197"/>
                    <wp:lineTo x="2721" y="19261"/>
                    <wp:lineTo x="7483" y="21325"/>
                    <wp:lineTo x="13946" y="21325"/>
                    <wp:lineTo x="19049" y="18917"/>
                    <wp:lineTo x="19729" y="17197"/>
                    <wp:lineTo x="17008" y="16510"/>
                    <wp:lineTo x="21430" y="15134"/>
                    <wp:lineTo x="21430" y="9287"/>
                    <wp:lineTo x="21090" y="3783"/>
                    <wp:lineTo x="15647" y="344"/>
                    <wp:lineTo x="12586" y="0"/>
                    <wp:lineTo x="8504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1196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27BC">
            <w:br w:type="page"/>
          </w:r>
        </w:p>
        <w:sdt>
          <w:sdtPr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</w:rPr>
            <w:id w:val="1184940873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1712B340" w14:textId="77777777" w:rsidR="00402DDC" w:rsidRDefault="00402DDC">
              <w:pPr>
                <w:pStyle w:val="TtulodeTDC"/>
              </w:pPr>
              <w:r>
                <w:t>Tabla de contenido</w:t>
              </w:r>
            </w:p>
            <w:p w14:paraId="79FB997A" w14:textId="77777777" w:rsidR="00D123F9" w:rsidRDefault="00402DDC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832157" w:history="1">
                <w:r w:rsidR="00D123F9" w:rsidRPr="005E1D75">
                  <w:rPr>
                    <w:rStyle w:val="Hipervnculo"/>
                    <w:noProof/>
                  </w:rPr>
                  <w:t>1.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Objetivos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_Toc22832157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1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443BCCD0" w14:textId="77777777" w:rsidR="00D123F9" w:rsidRDefault="009B5E44">
              <w:pPr>
                <w:pStyle w:val="TDC2"/>
                <w:tabs>
                  <w:tab w:val="right" w:leader="dot" w:pos="8828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58" w:history="1">
                <w:r w:rsidR="00D123F9" w:rsidRPr="005E1D75">
                  <w:rPr>
                    <w:rStyle w:val="Hipervnculo"/>
                    <w:noProof/>
                  </w:rPr>
                  <w:t>Objetivo General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_Toc22832158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1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452D2C31" w14:textId="77777777" w:rsidR="00D123F9" w:rsidRDefault="009B5E44">
              <w:pPr>
                <w:pStyle w:val="TDC2"/>
                <w:tabs>
                  <w:tab w:val="right" w:leader="dot" w:pos="8828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59" w:history="1">
                <w:r w:rsidR="00D123F9" w:rsidRPr="005E1D75">
                  <w:rPr>
                    <w:rStyle w:val="Hipervnculo"/>
                    <w:noProof/>
                  </w:rPr>
                  <w:t>Objetivos específicos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_Toc22832159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1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71052B77" w14:textId="77777777" w:rsidR="00D123F9" w:rsidRDefault="009B5E44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60" w:history="1">
                <w:r w:rsidR="00D123F9" w:rsidRPr="005E1D75">
                  <w:rPr>
                    <w:rStyle w:val="Hipervnculo"/>
                    <w:noProof/>
                  </w:rPr>
                  <w:t>2.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Alcance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_Toc22832160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1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6E6161FF" w14:textId="77777777" w:rsidR="00D123F9" w:rsidRDefault="009B5E44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61" w:history="1">
                <w:r w:rsidR="00D123F9" w:rsidRPr="005E1D75">
                  <w:rPr>
                    <w:rStyle w:val="Hipervnculo"/>
                    <w:noProof/>
                  </w:rPr>
                  <w:t>3.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Roles, mecanismos y responsabilidades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_Toc22832161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1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28F977E3" w14:textId="77777777" w:rsidR="00D123F9" w:rsidRDefault="009B5E44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62" w:history="1">
                <w:r w:rsidR="00D123F9" w:rsidRPr="005E1D75">
                  <w:rPr>
                    <w:rStyle w:val="Hipervnculo"/>
                    <w:noProof/>
                  </w:rPr>
                  <w:t>4.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Generalidades del Plan de Continuidad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_Toc22832162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2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057909DF" w14:textId="77777777" w:rsidR="00D123F9" w:rsidRDefault="009B5E44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63" w:history="1">
                <w:r w:rsidR="00D123F9" w:rsidRPr="005E1D75">
                  <w:rPr>
                    <w:rStyle w:val="Hipervnculo"/>
                    <w:noProof/>
                  </w:rPr>
                  <w:t>5.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Análisis del entorno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_Toc22832163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3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0F7C71A7" w14:textId="77777777" w:rsidR="00D123F9" w:rsidRDefault="009B5E44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64" w:history="1">
                <w:r w:rsidR="00D123F9" w:rsidRPr="005E1D75">
                  <w:rPr>
                    <w:rStyle w:val="Hipervnculo"/>
                    <w:noProof/>
                  </w:rPr>
                  <w:t>6.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Riesgos asociados a la continuidad del negocio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_Toc22832164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5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3420CBA4" w14:textId="77777777" w:rsidR="00D123F9" w:rsidRDefault="009B5E44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65" w:history="1">
                <w:r w:rsidR="00D123F9" w:rsidRPr="005E1D75">
                  <w:rPr>
                    <w:rStyle w:val="Hipervnculo"/>
                    <w:noProof/>
                  </w:rPr>
                  <w:t>7.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Pruebas y revisión periódica del plan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_Toc22832165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7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6931205A" w14:textId="77777777" w:rsidR="00D123F9" w:rsidRDefault="009B5E44">
              <w:pPr>
                <w:pStyle w:val="TDC1"/>
                <w:tabs>
                  <w:tab w:val="left" w:pos="440"/>
                </w:tabs>
                <w:rPr>
                  <w:rFonts w:asciiTheme="minorHAnsi" w:hAnsiTheme="minorHAnsi"/>
                  <w:noProof/>
                  <w:lang w:eastAsia="es-ES"/>
                </w:rPr>
              </w:pPr>
              <w:hyperlink w:anchor="_Toc22832166" w:history="1">
                <w:r w:rsidR="00D123F9" w:rsidRPr="005E1D75">
                  <w:rPr>
                    <w:rStyle w:val="Hipervnculo"/>
                    <w:noProof/>
                  </w:rPr>
                  <w:t>8.</w:t>
                </w:r>
                <w:r w:rsidR="00D123F9">
                  <w:rPr>
                    <w:rFonts w:asciiTheme="minorHAnsi" w:hAnsiTheme="minorHAnsi"/>
                    <w:noProof/>
                    <w:lang w:eastAsia="es-ES"/>
                  </w:rPr>
                  <w:tab/>
                </w:r>
                <w:r w:rsidR="00D123F9" w:rsidRPr="005E1D75">
                  <w:rPr>
                    <w:rStyle w:val="Hipervnculo"/>
                    <w:noProof/>
                  </w:rPr>
                  <w:t>Pasos a seguir para gestionar el plan</w:t>
                </w:r>
                <w:r w:rsidR="00D123F9">
                  <w:rPr>
                    <w:noProof/>
                    <w:webHidden/>
                  </w:rPr>
                  <w:tab/>
                </w:r>
                <w:r w:rsidR="00D123F9">
                  <w:rPr>
                    <w:noProof/>
                    <w:webHidden/>
                  </w:rPr>
                  <w:fldChar w:fldCharType="begin"/>
                </w:r>
                <w:r w:rsidR="00D123F9">
                  <w:rPr>
                    <w:noProof/>
                    <w:webHidden/>
                  </w:rPr>
                  <w:instrText xml:space="preserve"> PAGEREF _Toc22832166 \h </w:instrText>
                </w:r>
                <w:r w:rsidR="00D123F9">
                  <w:rPr>
                    <w:noProof/>
                    <w:webHidden/>
                  </w:rPr>
                </w:r>
                <w:r w:rsidR="00D123F9">
                  <w:rPr>
                    <w:noProof/>
                    <w:webHidden/>
                  </w:rPr>
                  <w:fldChar w:fldCharType="separate"/>
                </w:r>
                <w:r w:rsidR="00D123F9">
                  <w:rPr>
                    <w:noProof/>
                    <w:webHidden/>
                  </w:rPr>
                  <w:t>7</w:t>
                </w:r>
                <w:r w:rsidR="00D123F9">
                  <w:rPr>
                    <w:noProof/>
                    <w:webHidden/>
                  </w:rPr>
                  <w:fldChar w:fldCharType="end"/>
                </w:r>
              </w:hyperlink>
            </w:p>
            <w:p w14:paraId="2267ABD7" w14:textId="77777777" w:rsidR="00402DDC" w:rsidRDefault="00402DD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E382C98" w14:textId="0A622FDB" w:rsidR="00E027BC" w:rsidRDefault="00C51188" w:rsidP="00C51188">
          <w:pPr>
            <w:jc w:val="left"/>
          </w:pPr>
          <w:r>
            <w:br w:type="page"/>
          </w:r>
        </w:p>
      </w:sdtContent>
    </w:sdt>
    <w:p w14:paraId="49CD59D3" w14:textId="4B93618F" w:rsidR="00C85C8D" w:rsidRDefault="00C85C8D" w:rsidP="00C74C80">
      <w:pPr>
        <w:pStyle w:val="Ttulo1"/>
        <w:numPr>
          <w:ilvl w:val="0"/>
          <w:numId w:val="1"/>
        </w:numPr>
      </w:pPr>
      <w:bookmarkStart w:id="0" w:name="_Toc22832157"/>
      <w:r w:rsidRPr="00C85C8D">
        <w:lastRenderedPageBreak/>
        <w:t>Objetivos</w:t>
      </w:r>
      <w:bookmarkEnd w:id="0"/>
      <w:r w:rsidRPr="00C85C8D">
        <w:t xml:space="preserve"> </w:t>
      </w:r>
    </w:p>
    <w:p w14:paraId="2480CBB5" w14:textId="77777777" w:rsidR="00F15E2A" w:rsidRPr="00F15E2A" w:rsidRDefault="00F15E2A" w:rsidP="00F15E2A"/>
    <w:p w14:paraId="65FBDAAD" w14:textId="77777777" w:rsidR="00C85C8D" w:rsidRPr="00C85C8D" w:rsidRDefault="00C85C8D" w:rsidP="00C85C8D">
      <w:pPr>
        <w:pStyle w:val="Ttulo2"/>
      </w:pPr>
      <w:bookmarkStart w:id="1" w:name="_Toc22832158"/>
      <w:r w:rsidRPr="00C85C8D">
        <w:t>Objetivo General</w:t>
      </w:r>
      <w:bookmarkEnd w:id="1"/>
    </w:p>
    <w:p w14:paraId="17F3D2C0" w14:textId="0290AAD5" w:rsidR="00C85C8D" w:rsidRDefault="00C85C8D" w:rsidP="000B7D73">
      <w:pPr>
        <w:pStyle w:val="Prrafodelista"/>
        <w:spacing w:line="276" w:lineRule="auto"/>
        <w:ind w:left="0"/>
        <w:rPr>
          <w:rFonts w:cs="Arial"/>
          <w:color w:val="000000"/>
          <w:szCs w:val="24"/>
        </w:rPr>
      </w:pPr>
      <w:r w:rsidRPr="00C85C8D">
        <w:rPr>
          <w:rFonts w:cs="Arial"/>
          <w:color w:val="000000"/>
          <w:szCs w:val="24"/>
        </w:rPr>
        <w:t>Definir las actividades preventivas, defectivas y correctivas para reaccionar de manera</w:t>
      </w:r>
      <w:r>
        <w:rPr>
          <w:rFonts w:cs="Arial"/>
          <w:color w:val="000000"/>
          <w:szCs w:val="24"/>
        </w:rPr>
        <w:t xml:space="preserve"> </w:t>
      </w:r>
      <w:r w:rsidRPr="00C85C8D">
        <w:rPr>
          <w:rFonts w:cs="Arial"/>
          <w:color w:val="000000"/>
          <w:szCs w:val="24"/>
        </w:rPr>
        <w:t>eficiente ante una eventualidad que comprometa el desarrollo de las actividades</w:t>
      </w:r>
      <w:r>
        <w:rPr>
          <w:rFonts w:cs="Arial"/>
          <w:color w:val="000000"/>
          <w:szCs w:val="24"/>
        </w:rPr>
        <w:t xml:space="preserve"> </w:t>
      </w:r>
      <w:r w:rsidRPr="00C85C8D">
        <w:rPr>
          <w:rFonts w:cs="Arial"/>
          <w:color w:val="000000"/>
          <w:szCs w:val="24"/>
        </w:rPr>
        <w:t>cotidianas, la seguridad del personal o la prestación del servicio.</w:t>
      </w:r>
    </w:p>
    <w:p w14:paraId="7C13AC00" w14:textId="77777777" w:rsidR="00F15E2A" w:rsidRPr="00C85C8D" w:rsidRDefault="00F15E2A" w:rsidP="000B7D73">
      <w:pPr>
        <w:pStyle w:val="Prrafodelista"/>
        <w:spacing w:line="276" w:lineRule="auto"/>
        <w:ind w:left="0"/>
        <w:rPr>
          <w:rFonts w:cs="Arial"/>
          <w:color w:val="000000"/>
          <w:szCs w:val="24"/>
        </w:rPr>
      </w:pPr>
    </w:p>
    <w:p w14:paraId="735A0A44" w14:textId="6048C438" w:rsidR="00C85C8D" w:rsidRPr="00C85C8D" w:rsidRDefault="00C85C8D" w:rsidP="00C85C8D">
      <w:pPr>
        <w:pStyle w:val="Ttulo2"/>
      </w:pPr>
      <w:bookmarkStart w:id="2" w:name="_Toc22832159"/>
      <w:r w:rsidRPr="00C85C8D">
        <w:t>Objetivos específicos</w:t>
      </w:r>
      <w:bookmarkEnd w:id="2"/>
    </w:p>
    <w:p w14:paraId="2253BA30" w14:textId="6A0A4CF9" w:rsidR="00C85C8D" w:rsidRPr="00C85C8D" w:rsidRDefault="00C85C8D" w:rsidP="00C74C80">
      <w:pPr>
        <w:pStyle w:val="Prrafodelista"/>
        <w:numPr>
          <w:ilvl w:val="0"/>
          <w:numId w:val="2"/>
        </w:numPr>
        <w:spacing w:line="276" w:lineRule="auto"/>
        <w:rPr>
          <w:rFonts w:cs="Arial"/>
          <w:color w:val="000000"/>
          <w:szCs w:val="24"/>
        </w:rPr>
      </w:pPr>
      <w:r w:rsidRPr="00C85C8D">
        <w:rPr>
          <w:rFonts w:cs="Arial"/>
          <w:color w:val="000000"/>
          <w:szCs w:val="24"/>
        </w:rPr>
        <w:t>Asignar responsabilidades al personal designado</w:t>
      </w:r>
      <w:r w:rsidR="00114DF8">
        <w:rPr>
          <w:rFonts w:cs="Arial"/>
          <w:color w:val="000000"/>
          <w:szCs w:val="24"/>
        </w:rPr>
        <w:t>.</w:t>
      </w:r>
    </w:p>
    <w:p w14:paraId="011A94E4" w14:textId="2837C9E5" w:rsidR="00C85C8D" w:rsidRPr="00C85C8D" w:rsidRDefault="00C85C8D" w:rsidP="00C74C80">
      <w:pPr>
        <w:pStyle w:val="Prrafodelista"/>
        <w:numPr>
          <w:ilvl w:val="0"/>
          <w:numId w:val="2"/>
        </w:numPr>
        <w:spacing w:line="276" w:lineRule="auto"/>
        <w:rPr>
          <w:rFonts w:cs="Arial"/>
          <w:color w:val="000000"/>
          <w:szCs w:val="24"/>
        </w:rPr>
      </w:pPr>
      <w:r w:rsidRPr="00C85C8D">
        <w:rPr>
          <w:rFonts w:cs="Arial"/>
          <w:color w:val="000000"/>
          <w:szCs w:val="24"/>
        </w:rPr>
        <w:t xml:space="preserve">Asegurar la protección de los Servidores </w:t>
      </w:r>
      <w:r w:rsidR="003964E8">
        <w:rPr>
          <w:rFonts w:cs="Arial"/>
          <w:color w:val="000000"/>
          <w:szCs w:val="24"/>
        </w:rPr>
        <w:t>Judiciales</w:t>
      </w:r>
      <w:r w:rsidR="00114DF8">
        <w:rPr>
          <w:rFonts w:cs="Arial"/>
          <w:color w:val="000000"/>
          <w:szCs w:val="24"/>
        </w:rPr>
        <w:t>.</w:t>
      </w:r>
    </w:p>
    <w:p w14:paraId="560220DE" w14:textId="2C99D19F" w:rsidR="00C85C8D" w:rsidRPr="00C85C8D" w:rsidRDefault="00C85C8D" w:rsidP="00C74C80">
      <w:pPr>
        <w:pStyle w:val="Prrafodelista"/>
        <w:numPr>
          <w:ilvl w:val="0"/>
          <w:numId w:val="2"/>
        </w:numPr>
        <w:spacing w:line="276" w:lineRule="auto"/>
        <w:rPr>
          <w:rFonts w:cs="Arial"/>
          <w:color w:val="000000"/>
          <w:szCs w:val="24"/>
        </w:rPr>
      </w:pPr>
      <w:r w:rsidRPr="00C85C8D">
        <w:rPr>
          <w:rFonts w:cs="Arial"/>
          <w:color w:val="000000"/>
          <w:szCs w:val="24"/>
        </w:rPr>
        <w:t>Identificar las actividades críticas, los recursos y los procedimientos necesarios para llevar a cabo las operaciones durante las interrupciones prolongadas del servicio</w:t>
      </w:r>
    </w:p>
    <w:p w14:paraId="2AB3BAE4" w14:textId="48462951" w:rsidR="00C85C8D" w:rsidRPr="00114DF8" w:rsidRDefault="00C85C8D" w:rsidP="00C74C80">
      <w:pPr>
        <w:pStyle w:val="Prrafodelista"/>
        <w:numPr>
          <w:ilvl w:val="0"/>
          <w:numId w:val="2"/>
        </w:numPr>
        <w:spacing w:line="276" w:lineRule="auto"/>
        <w:rPr>
          <w:rFonts w:cs="Arial"/>
          <w:color w:val="000000"/>
          <w:szCs w:val="24"/>
        </w:rPr>
      </w:pPr>
      <w:r w:rsidRPr="00114DF8">
        <w:rPr>
          <w:rFonts w:cs="Arial"/>
          <w:color w:val="000000"/>
          <w:szCs w:val="24"/>
        </w:rPr>
        <w:t xml:space="preserve">Asegurar una pronta recuperación en los servicios críticos para </w:t>
      </w:r>
      <w:r w:rsidR="00114DF8" w:rsidRPr="00114DF8">
        <w:rPr>
          <w:rFonts w:cs="Arial"/>
          <w:color w:val="000000"/>
          <w:szCs w:val="24"/>
        </w:rPr>
        <w:t>las partes interesadas.</w:t>
      </w:r>
    </w:p>
    <w:p w14:paraId="4C15994A" w14:textId="512284E4" w:rsidR="00C85C8D" w:rsidRPr="00114DF8" w:rsidRDefault="00C85C8D" w:rsidP="00C74C80">
      <w:pPr>
        <w:pStyle w:val="Prrafodelista"/>
        <w:numPr>
          <w:ilvl w:val="0"/>
          <w:numId w:val="2"/>
        </w:numPr>
        <w:spacing w:line="276" w:lineRule="auto"/>
        <w:rPr>
          <w:rFonts w:cs="Arial"/>
          <w:color w:val="000000"/>
          <w:szCs w:val="24"/>
        </w:rPr>
      </w:pPr>
      <w:r w:rsidRPr="00114DF8">
        <w:rPr>
          <w:rFonts w:cs="Arial"/>
          <w:color w:val="000000"/>
          <w:szCs w:val="24"/>
        </w:rPr>
        <w:t>Disminuir los tiempos de interrupción de la operación de los procesos</w:t>
      </w:r>
      <w:r w:rsidR="00114DF8" w:rsidRPr="00114DF8">
        <w:rPr>
          <w:rFonts w:cs="Arial"/>
          <w:color w:val="000000"/>
          <w:szCs w:val="24"/>
        </w:rPr>
        <w:t>.</w:t>
      </w:r>
    </w:p>
    <w:p w14:paraId="73A68B44" w14:textId="5B4A2365" w:rsidR="00C85C8D" w:rsidRPr="00114DF8" w:rsidRDefault="00C85C8D" w:rsidP="00C74C80">
      <w:pPr>
        <w:pStyle w:val="Prrafodelista"/>
        <w:numPr>
          <w:ilvl w:val="0"/>
          <w:numId w:val="2"/>
        </w:numPr>
        <w:spacing w:line="276" w:lineRule="auto"/>
        <w:rPr>
          <w:rFonts w:cs="Arial"/>
          <w:color w:val="000000"/>
          <w:szCs w:val="24"/>
        </w:rPr>
      </w:pPr>
      <w:r w:rsidRPr="00114DF8">
        <w:rPr>
          <w:rFonts w:cs="Arial"/>
          <w:color w:val="000000"/>
          <w:szCs w:val="24"/>
        </w:rPr>
        <w:t>Proteger los bienes del</w:t>
      </w:r>
      <w:r w:rsidR="003964E8" w:rsidRPr="00114DF8">
        <w:rPr>
          <w:rFonts w:cs="Arial"/>
          <w:color w:val="000000"/>
          <w:szCs w:val="24"/>
        </w:rPr>
        <w:t xml:space="preserve"> Centro de Servicios </w:t>
      </w:r>
      <w:r w:rsidRPr="00114DF8">
        <w:rPr>
          <w:rFonts w:cs="Arial"/>
          <w:color w:val="000000"/>
          <w:szCs w:val="24"/>
        </w:rPr>
        <w:t>de manera adecuada.</w:t>
      </w:r>
    </w:p>
    <w:p w14:paraId="45FFB43F" w14:textId="77777777" w:rsidR="00F15E2A" w:rsidRPr="003964E8" w:rsidRDefault="00F15E2A" w:rsidP="00114DF8">
      <w:pPr>
        <w:pStyle w:val="Prrafodelista"/>
        <w:spacing w:line="276" w:lineRule="auto"/>
        <w:ind w:left="1068"/>
        <w:rPr>
          <w:rFonts w:cs="Arial"/>
          <w:color w:val="000000"/>
          <w:szCs w:val="24"/>
          <w:highlight w:val="yellow"/>
        </w:rPr>
      </w:pPr>
    </w:p>
    <w:p w14:paraId="5739924F" w14:textId="509F0FB7" w:rsidR="00C85C8D" w:rsidRPr="00C85C8D" w:rsidRDefault="00C85C8D" w:rsidP="00C74C80">
      <w:pPr>
        <w:pStyle w:val="Ttulo1"/>
        <w:numPr>
          <w:ilvl w:val="0"/>
          <w:numId w:val="1"/>
        </w:numPr>
      </w:pPr>
      <w:bookmarkStart w:id="3" w:name="_Toc22832160"/>
      <w:r w:rsidRPr="00C85C8D">
        <w:t>Alcance</w:t>
      </w:r>
      <w:bookmarkEnd w:id="3"/>
    </w:p>
    <w:p w14:paraId="0306F45B" w14:textId="68D36B28" w:rsidR="00C85C8D" w:rsidRPr="00C85C8D" w:rsidRDefault="00C85C8D" w:rsidP="00C85C8D">
      <w:pPr>
        <w:pStyle w:val="Prrafodelista"/>
        <w:spacing w:line="276" w:lineRule="auto"/>
        <w:ind w:left="0"/>
        <w:rPr>
          <w:rFonts w:cs="Arial"/>
          <w:color w:val="000000"/>
          <w:szCs w:val="24"/>
        </w:rPr>
      </w:pPr>
      <w:commentRangeStart w:id="4"/>
      <w:r w:rsidRPr="00C85C8D">
        <w:rPr>
          <w:rFonts w:cs="Arial"/>
          <w:color w:val="000000"/>
          <w:szCs w:val="24"/>
        </w:rPr>
        <w:t xml:space="preserve">El plan de continuidad </w:t>
      </w:r>
      <w:commentRangeEnd w:id="4"/>
      <w:r w:rsidR="00D938B1">
        <w:rPr>
          <w:rStyle w:val="Refdecomentario"/>
        </w:rPr>
        <w:commentReference w:id="4"/>
      </w:r>
      <w:r w:rsidRPr="00C85C8D">
        <w:rPr>
          <w:rFonts w:cs="Arial"/>
          <w:color w:val="000000"/>
          <w:szCs w:val="24"/>
        </w:rPr>
        <w:t>del negocio inicia con la identificación y</w:t>
      </w:r>
      <w:r>
        <w:rPr>
          <w:rFonts w:cs="Arial"/>
          <w:color w:val="000000"/>
          <w:szCs w:val="24"/>
        </w:rPr>
        <w:t xml:space="preserve"> socialización de los elementos </w:t>
      </w:r>
      <w:r w:rsidRPr="00C85C8D">
        <w:rPr>
          <w:rFonts w:cs="Arial"/>
          <w:color w:val="000000"/>
          <w:szCs w:val="24"/>
        </w:rPr>
        <w:t xml:space="preserve">críticos en </w:t>
      </w:r>
      <w:r w:rsidR="003964E8">
        <w:rPr>
          <w:rFonts w:cs="Arial"/>
          <w:color w:val="000000"/>
          <w:szCs w:val="24"/>
        </w:rPr>
        <w:t>el Centro de Servicios</w:t>
      </w:r>
      <w:r w:rsidRPr="00C85C8D">
        <w:rPr>
          <w:rFonts w:cs="Arial"/>
          <w:color w:val="000000"/>
          <w:szCs w:val="24"/>
        </w:rPr>
        <w:t xml:space="preserve"> que puedan definirse como incidente o desastre que impidan</w:t>
      </w:r>
      <w:r>
        <w:rPr>
          <w:rFonts w:cs="Arial"/>
          <w:color w:val="000000"/>
          <w:szCs w:val="24"/>
        </w:rPr>
        <w:t xml:space="preserve"> </w:t>
      </w:r>
      <w:r w:rsidRPr="00C85C8D">
        <w:rPr>
          <w:rFonts w:cs="Arial"/>
          <w:color w:val="000000"/>
          <w:szCs w:val="24"/>
        </w:rPr>
        <w:t>continuar la operación y finaliza con el análisis y acciones de mejora identificadas de la</w:t>
      </w:r>
      <w:r>
        <w:rPr>
          <w:rFonts w:cs="Arial"/>
          <w:color w:val="000000"/>
          <w:szCs w:val="24"/>
        </w:rPr>
        <w:t xml:space="preserve"> </w:t>
      </w:r>
      <w:r w:rsidRPr="00C85C8D">
        <w:rPr>
          <w:rFonts w:cs="Arial"/>
          <w:color w:val="000000"/>
          <w:szCs w:val="24"/>
        </w:rPr>
        <w:t>reacción ante la situación presentada mínimo una vez al año (simulacro o realidad)</w:t>
      </w:r>
      <w:r w:rsidR="004742FD">
        <w:rPr>
          <w:rFonts w:cs="Arial"/>
          <w:color w:val="000000"/>
          <w:szCs w:val="24"/>
        </w:rPr>
        <w:t xml:space="preserve">. </w:t>
      </w:r>
    </w:p>
    <w:p w14:paraId="0B0B5BA8" w14:textId="77777777" w:rsidR="00C85C8D" w:rsidRDefault="00C85C8D" w:rsidP="00C85C8D">
      <w:pPr>
        <w:pStyle w:val="Prrafodelista"/>
        <w:spacing w:line="276" w:lineRule="auto"/>
        <w:rPr>
          <w:rFonts w:cs="Arial"/>
          <w:color w:val="000000"/>
          <w:szCs w:val="24"/>
        </w:rPr>
      </w:pPr>
    </w:p>
    <w:p w14:paraId="50FC87DC" w14:textId="547E4434" w:rsidR="00C973F0" w:rsidRDefault="00C85C8D" w:rsidP="00C74C80">
      <w:pPr>
        <w:pStyle w:val="Ttulo1"/>
        <w:numPr>
          <w:ilvl w:val="0"/>
          <w:numId w:val="1"/>
        </w:numPr>
      </w:pPr>
      <w:bookmarkStart w:id="5" w:name="_Toc22832161"/>
      <w:r w:rsidRPr="00C85C8D">
        <w:t>Roles, mecanismos y responsabilidades</w:t>
      </w:r>
      <w:bookmarkEnd w:id="5"/>
    </w:p>
    <w:tbl>
      <w:tblPr>
        <w:tblStyle w:val="Tablaconcuadrcula"/>
        <w:tblW w:w="90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2268"/>
        <w:gridCol w:w="2916"/>
      </w:tblGrid>
      <w:tr w:rsidR="00CD16F9" w14:paraId="070DB045" w14:textId="77777777" w:rsidTr="00F15E2A">
        <w:trPr>
          <w:trHeight w:val="371"/>
        </w:trPr>
        <w:tc>
          <w:tcPr>
            <w:tcW w:w="1985" w:type="dxa"/>
            <w:shd w:val="clear" w:color="auto" w:fill="C4E7EA" w:themeFill="text2" w:themeFillTint="33"/>
            <w:vAlign w:val="center"/>
          </w:tcPr>
          <w:p w14:paraId="001039B8" w14:textId="0333F8EF" w:rsidR="003964E8" w:rsidRPr="00F15E2A" w:rsidRDefault="00CD16F9" w:rsidP="008C522C">
            <w:pPr>
              <w:jc w:val="center"/>
              <w:rPr>
                <w:rStyle w:val="nfasissutil"/>
                <w:b/>
                <w:i w:val="0"/>
                <w:color w:val="163C3F" w:themeColor="text2" w:themeShade="BF"/>
              </w:rPr>
            </w:pPr>
            <w:r w:rsidRPr="00F15E2A">
              <w:rPr>
                <w:rStyle w:val="nfasissutil"/>
                <w:b/>
                <w:i w:val="0"/>
                <w:color w:val="163C3F" w:themeColor="text2" w:themeShade="BF"/>
              </w:rPr>
              <w:t>ROL</w:t>
            </w:r>
          </w:p>
        </w:tc>
        <w:tc>
          <w:tcPr>
            <w:tcW w:w="1843" w:type="dxa"/>
            <w:shd w:val="clear" w:color="auto" w:fill="C4E7EA" w:themeFill="text2" w:themeFillTint="33"/>
            <w:vAlign w:val="center"/>
          </w:tcPr>
          <w:p w14:paraId="0982EDD6" w14:textId="6E879CEF" w:rsidR="003964E8" w:rsidRPr="00F15E2A" w:rsidRDefault="00CD16F9" w:rsidP="008C522C">
            <w:pPr>
              <w:jc w:val="center"/>
              <w:rPr>
                <w:rStyle w:val="nfasissutil"/>
                <w:b/>
                <w:i w:val="0"/>
                <w:color w:val="163C3F" w:themeColor="text2" w:themeShade="BF"/>
              </w:rPr>
            </w:pPr>
            <w:r w:rsidRPr="00F15E2A">
              <w:rPr>
                <w:rStyle w:val="nfasissutil"/>
                <w:b/>
                <w:i w:val="0"/>
                <w:color w:val="163C3F" w:themeColor="text2" w:themeShade="BF"/>
              </w:rPr>
              <w:t>RESPONSABLE</w:t>
            </w:r>
          </w:p>
        </w:tc>
        <w:tc>
          <w:tcPr>
            <w:tcW w:w="2268" w:type="dxa"/>
            <w:shd w:val="clear" w:color="auto" w:fill="C4E7EA" w:themeFill="text2" w:themeFillTint="33"/>
            <w:vAlign w:val="center"/>
          </w:tcPr>
          <w:p w14:paraId="7EEAE1BD" w14:textId="03A1DD84" w:rsidR="003964E8" w:rsidRPr="00F15E2A" w:rsidRDefault="00CD16F9" w:rsidP="008C522C">
            <w:pPr>
              <w:jc w:val="center"/>
              <w:rPr>
                <w:rStyle w:val="nfasissutil"/>
                <w:b/>
                <w:i w:val="0"/>
                <w:color w:val="163C3F" w:themeColor="text2" w:themeShade="BF"/>
              </w:rPr>
            </w:pPr>
            <w:r w:rsidRPr="00F15E2A">
              <w:rPr>
                <w:rStyle w:val="nfasissutil"/>
                <w:b/>
                <w:i w:val="0"/>
                <w:color w:val="163C3F" w:themeColor="text2" w:themeShade="BF"/>
              </w:rPr>
              <w:t>REPRESENTANTES</w:t>
            </w:r>
          </w:p>
        </w:tc>
        <w:tc>
          <w:tcPr>
            <w:tcW w:w="2916" w:type="dxa"/>
            <w:shd w:val="clear" w:color="auto" w:fill="C4E7EA" w:themeFill="text2" w:themeFillTint="33"/>
            <w:vAlign w:val="center"/>
          </w:tcPr>
          <w:p w14:paraId="13E30399" w14:textId="04D16EBD" w:rsidR="003964E8" w:rsidRPr="00F15E2A" w:rsidRDefault="00CD16F9" w:rsidP="008C522C">
            <w:pPr>
              <w:jc w:val="center"/>
              <w:rPr>
                <w:rStyle w:val="nfasissutil"/>
                <w:b/>
                <w:i w:val="0"/>
                <w:color w:val="163C3F" w:themeColor="text2" w:themeShade="BF"/>
              </w:rPr>
            </w:pPr>
            <w:r w:rsidRPr="00F15E2A">
              <w:rPr>
                <w:rStyle w:val="nfasissutil"/>
                <w:b/>
                <w:i w:val="0"/>
                <w:color w:val="163C3F" w:themeColor="text2" w:themeShade="BF"/>
              </w:rPr>
              <w:t>MECANISMOS</w:t>
            </w:r>
          </w:p>
        </w:tc>
      </w:tr>
      <w:tr w:rsidR="00CD16F9" w14:paraId="77E1309E" w14:textId="77777777" w:rsidTr="00D12294">
        <w:trPr>
          <w:trHeight w:val="357"/>
        </w:trPr>
        <w:tc>
          <w:tcPr>
            <w:tcW w:w="1985" w:type="dxa"/>
            <w:vAlign w:val="center"/>
          </w:tcPr>
          <w:p w14:paraId="332FF692" w14:textId="12232DA1" w:rsidR="003964E8" w:rsidRDefault="00486C61" w:rsidP="00D12294">
            <w:pPr>
              <w:jc w:val="left"/>
              <w:rPr>
                <w:rStyle w:val="nfasissutil"/>
                <w:b/>
                <w:sz w:val="32"/>
              </w:rPr>
            </w:pPr>
            <w:r>
              <w:t xml:space="preserve">Creación </w:t>
            </w:r>
            <w:r w:rsidR="008C522C">
              <w:t xml:space="preserve">y </w:t>
            </w:r>
            <w:r w:rsidR="00D12294">
              <w:t xml:space="preserve">documentación </w:t>
            </w:r>
            <w:r w:rsidR="008C522C">
              <w:t xml:space="preserve"> del Plan de continuidad </w:t>
            </w:r>
          </w:p>
        </w:tc>
        <w:tc>
          <w:tcPr>
            <w:tcW w:w="1843" w:type="dxa"/>
            <w:vAlign w:val="center"/>
          </w:tcPr>
          <w:p w14:paraId="52131F05" w14:textId="6F6DF1D5" w:rsidR="003964E8" w:rsidRDefault="00486C61" w:rsidP="00486C61">
            <w:pPr>
              <w:jc w:val="left"/>
              <w:rPr>
                <w:rStyle w:val="nfasissutil"/>
                <w:b/>
                <w:sz w:val="32"/>
              </w:rPr>
            </w:pPr>
            <w:r>
              <w:t xml:space="preserve">Coordinación del Centro de Servicios </w:t>
            </w:r>
            <w:r w:rsidR="00B25942">
              <w:t xml:space="preserve"> </w:t>
            </w:r>
          </w:p>
        </w:tc>
        <w:tc>
          <w:tcPr>
            <w:tcW w:w="2268" w:type="dxa"/>
            <w:vAlign w:val="center"/>
          </w:tcPr>
          <w:p w14:paraId="29655546" w14:textId="4E98B57F" w:rsidR="00486C61" w:rsidRDefault="00486C61" w:rsidP="00F15E2A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 xml:space="preserve">Coordinador(a) del Centro de Servicios  </w:t>
            </w:r>
          </w:p>
          <w:p w14:paraId="186239C3" w14:textId="5377AEBD" w:rsidR="00486C61" w:rsidRDefault="00D12294" w:rsidP="00F15E2A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>Ingeniero(a)</w:t>
            </w:r>
            <w:r w:rsidR="00486C61">
              <w:t xml:space="preserve"> de Sistemas</w:t>
            </w:r>
          </w:p>
          <w:p w14:paraId="4299F6CE" w14:textId="4DCB05FF" w:rsidR="003964E8" w:rsidRPr="00F15E2A" w:rsidRDefault="00486C61" w:rsidP="00F15E2A">
            <w:pPr>
              <w:pStyle w:val="Prrafodelista"/>
              <w:numPr>
                <w:ilvl w:val="0"/>
                <w:numId w:val="5"/>
              </w:numPr>
              <w:jc w:val="left"/>
              <w:rPr>
                <w:rStyle w:val="nfasissutil"/>
                <w:b/>
                <w:sz w:val="32"/>
              </w:rPr>
            </w:pPr>
            <w:r>
              <w:t>Líderes de Área</w:t>
            </w:r>
          </w:p>
        </w:tc>
        <w:tc>
          <w:tcPr>
            <w:tcW w:w="2916" w:type="dxa"/>
            <w:vAlign w:val="center"/>
          </w:tcPr>
          <w:p w14:paraId="1F11BC70" w14:textId="77777777" w:rsidR="00B25942" w:rsidRDefault="008C522C" w:rsidP="00486C61">
            <w:pPr>
              <w:jc w:val="left"/>
            </w:pPr>
            <w:r>
              <w:t xml:space="preserve">Para crear y documentar el plan: </w:t>
            </w:r>
          </w:p>
          <w:p w14:paraId="1850E942" w14:textId="6FF5791C" w:rsidR="00B25942" w:rsidRDefault="008C522C" w:rsidP="00F15E2A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 xml:space="preserve">Mesas de trabajo </w:t>
            </w:r>
          </w:p>
          <w:p w14:paraId="7748FFCF" w14:textId="427DE334" w:rsidR="00B25942" w:rsidRDefault="008C522C" w:rsidP="00F15E2A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 xml:space="preserve">Análisis de la información </w:t>
            </w:r>
          </w:p>
          <w:p w14:paraId="505FC9AE" w14:textId="55A2A5A9" w:rsidR="00B25942" w:rsidRDefault="008C522C" w:rsidP="00F15E2A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 xml:space="preserve">Metodología de riesgos </w:t>
            </w:r>
          </w:p>
          <w:p w14:paraId="279E1D92" w14:textId="1DDA23DD" w:rsidR="003964E8" w:rsidRPr="00F15E2A" w:rsidRDefault="008C522C" w:rsidP="00F15E2A">
            <w:pPr>
              <w:pStyle w:val="Prrafodelista"/>
              <w:numPr>
                <w:ilvl w:val="0"/>
                <w:numId w:val="6"/>
              </w:numPr>
              <w:jc w:val="left"/>
              <w:rPr>
                <w:rStyle w:val="nfasissutil"/>
                <w:b/>
                <w:sz w:val="32"/>
              </w:rPr>
            </w:pPr>
            <w:commentRangeStart w:id="6"/>
            <w:r>
              <w:t>Inclusión de las actividades</w:t>
            </w:r>
            <w:r w:rsidR="00D12294">
              <w:t xml:space="preserve"> en el p</w:t>
            </w:r>
            <w:r w:rsidR="00E50471">
              <w:t xml:space="preserve">lan </w:t>
            </w:r>
            <w:r w:rsidR="00D12294">
              <w:t>estratégico</w:t>
            </w:r>
            <w:r w:rsidR="00E50471">
              <w:t xml:space="preserve"> </w:t>
            </w:r>
            <w:r w:rsidR="00D12294">
              <w:t>anual.</w:t>
            </w:r>
            <w:commentRangeEnd w:id="6"/>
            <w:r w:rsidR="00D12294">
              <w:rPr>
                <w:rStyle w:val="Refdecomentario"/>
              </w:rPr>
              <w:commentReference w:id="6"/>
            </w:r>
          </w:p>
        </w:tc>
      </w:tr>
      <w:tr w:rsidR="00CD16F9" w14:paraId="5F522D8D" w14:textId="77777777" w:rsidTr="00F15E2A">
        <w:trPr>
          <w:trHeight w:val="371"/>
        </w:trPr>
        <w:tc>
          <w:tcPr>
            <w:tcW w:w="1985" w:type="dxa"/>
            <w:vAlign w:val="center"/>
          </w:tcPr>
          <w:p w14:paraId="151321A6" w14:textId="0733EA26" w:rsidR="003964E8" w:rsidRDefault="00486C61" w:rsidP="00F15E2A">
            <w:pPr>
              <w:jc w:val="left"/>
              <w:rPr>
                <w:rStyle w:val="nfasissutil"/>
                <w:b/>
                <w:sz w:val="32"/>
              </w:rPr>
            </w:pPr>
            <w:r>
              <w:t xml:space="preserve">Aprobación, socialización y </w:t>
            </w:r>
            <w:r>
              <w:lastRenderedPageBreak/>
              <w:t xml:space="preserve">pruebas del plan de continuidad, </w:t>
            </w:r>
          </w:p>
        </w:tc>
        <w:tc>
          <w:tcPr>
            <w:tcW w:w="1843" w:type="dxa"/>
            <w:vAlign w:val="center"/>
          </w:tcPr>
          <w:p w14:paraId="19FEA7B6" w14:textId="664FCDA4" w:rsidR="00F15E2A" w:rsidRPr="00F15E2A" w:rsidRDefault="00F15E2A" w:rsidP="00F15E2A">
            <w:pPr>
              <w:pStyle w:val="Prrafodelista"/>
              <w:numPr>
                <w:ilvl w:val="0"/>
                <w:numId w:val="7"/>
              </w:numPr>
              <w:jc w:val="left"/>
              <w:rPr>
                <w:rStyle w:val="nfasissutil"/>
                <w:b/>
                <w:sz w:val="32"/>
              </w:rPr>
            </w:pPr>
            <w:r>
              <w:lastRenderedPageBreak/>
              <w:t xml:space="preserve">Coordinación del Centro de Servicios  </w:t>
            </w:r>
          </w:p>
        </w:tc>
        <w:tc>
          <w:tcPr>
            <w:tcW w:w="2268" w:type="dxa"/>
            <w:vAlign w:val="center"/>
          </w:tcPr>
          <w:p w14:paraId="12FBB525" w14:textId="77777777" w:rsidR="003964E8" w:rsidRPr="00406E49" w:rsidRDefault="00F15E2A" w:rsidP="00406E49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i/>
                <w:iCs/>
                <w:color w:val="595959" w:themeColor="text1" w:themeTint="A6"/>
                <w:sz w:val="32"/>
              </w:rPr>
            </w:pPr>
            <w:r>
              <w:t>Líderes de Área</w:t>
            </w:r>
          </w:p>
          <w:p w14:paraId="5974B2C1" w14:textId="2EB88027" w:rsidR="00406E49" w:rsidRP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  <w:rPr>
                <w:rStyle w:val="nfasissutil"/>
                <w:b/>
                <w:sz w:val="32"/>
              </w:rPr>
            </w:pPr>
            <w:r>
              <w:t>Ingeniero(a) de Sistemas</w:t>
            </w:r>
          </w:p>
        </w:tc>
        <w:tc>
          <w:tcPr>
            <w:tcW w:w="2916" w:type="dxa"/>
            <w:vAlign w:val="center"/>
          </w:tcPr>
          <w:p w14:paraId="0DB77A60" w14:textId="77777777" w:rsidR="00F15E2A" w:rsidRDefault="00486C61" w:rsidP="00F15E2A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Boletín de noticias/intranet</w:t>
            </w:r>
          </w:p>
          <w:p w14:paraId="69C6B6BE" w14:textId="77777777" w:rsidR="00406E49" w:rsidRPr="00406E49" w:rsidRDefault="00486C61" w:rsidP="00406E49">
            <w:pPr>
              <w:pStyle w:val="Prrafodelista"/>
              <w:numPr>
                <w:ilvl w:val="0"/>
                <w:numId w:val="8"/>
              </w:numPr>
              <w:jc w:val="left"/>
              <w:rPr>
                <w:b/>
                <w:i/>
                <w:iCs/>
                <w:color w:val="595959" w:themeColor="text1" w:themeTint="A6"/>
                <w:sz w:val="32"/>
              </w:rPr>
            </w:pPr>
            <w:r>
              <w:t xml:space="preserve">Sesiones de </w:t>
            </w:r>
            <w:r w:rsidR="00F15E2A">
              <w:t>capacitación</w:t>
            </w:r>
          </w:p>
          <w:p w14:paraId="6CFA7472" w14:textId="075D7E81" w:rsidR="003964E8" w:rsidRPr="00406E49" w:rsidRDefault="00486C61" w:rsidP="00406E49">
            <w:pPr>
              <w:pStyle w:val="Prrafodelista"/>
              <w:numPr>
                <w:ilvl w:val="0"/>
                <w:numId w:val="8"/>
              </w:numPr>
              <w:jc w:val="left"/>
              <w:rPr>
                <w:rStyle w:val="nfasissutil"/>
                <w:b/>
                <w:sz w:val="32"/>
              </w:rPr>
            </w:pPr>
            <w:r>
              <w:lastRenderedPageBreak/>
              <w:t>Simulacr</w:t>
            </w:r>
            <w:r w:rsidR="00F15E2A">
              <w:t>o</w:t>
            </w:r>
          </w:p>
        </w:tc>
      </w:tr>
      <w:tr w:rsidR="00CD16F9" w14:paraId="27ADC2DD" w14:textId="77777777" w:rsidTr="00406E49">
        <w:trPr>
          <w:trHeight w:val="371"/>
        </w:trPr>
        <w:tc>
          <w:tcPr>
            <w:tcW w:w="1985" w:type="dxa"/>
            <w:vAlign w:val="center"/>
          </w:tcPr>
          <w:p w14:paraId="6EAA690A" w14:textId="5676E6E5" w:rsidR="003964E8" w:rsidRDefault="00FD0FFB" w:rsidP="008B0FFE">
            <w:pPr>
              <w:jc w:val="left"/>
              <w:rPr>
                <w:rStyle w:val="nfasissutil"/>
                <w:b/>
                <w:sz w:val="32"/>
              </w:rPr>
            </w:pPr>
            <w:r>
              <w:lastRenderedPageBreak/>
              <w:t xml:space="preserve">Activación del Plan de </w:t>
            </w:r>
            <w:proofErr w:type="spellStart"/>
            <w:r w:rsidR="008B0FFE">
              <w:t>contigencia</w:t>
            </w:r>
            <w:proofErr w:type="spellEnd"/>
            <w:r>
              <w:t xml:space="preserve"> y Plan de restablecimiento </w:t>
            </w:r>
          </w:p>
        </w:tc>
        <w:tc>
          <w:tcPr>
            <w:tcW w:w="1843" w:type="dxa"/>
            <w:vAlign w:val="center"/>
          </w:tcPr>
          <w:p w14:paraId="1A8C9747" w14:textId="44876205" w:rsidR="00406E49" w:rsidRPr="00406E49" w:rsidRDefault="00406E49" w:rsidP="00406E49">
            <w:pPr>
              <w:pStyle w:val="Prrafodelista"/>
              <w:numPr>
                <w:ilvl w:val="0"/>
                <w:numId w:val="9"/>
              </w:numPr>
              <w:jc w:val="left"/>
              <w:rPr>
                <w:rStyle w:val="nfasissutil"/>
                <w:b/>
                <w:sz w:val="32"/>
              </w:rPr>
            </w:pPr>
            <w:r>
              <w:t xml:space="preserve">Coordinación del Centro de Servicios  </w:t>
            </w:r>
          </w:p>
        </w:tc>
        <w:tc>
          <w:tcPr>
            <w:tcW w:w="2268" w:type="dxa"/>
            <w:vAlign w:val="center"/>
          </w:tcPr>
          <w:p w14:paraId="73F9F376" w14:textId="77777777" w:rsidR="00406E49" w:rsidRP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i/>
                <w:iCs/>
                <w:color w:val="595959" w:themeColor="text1" w:themeTint="A6"/>
                <w:sz w:val="32"/>
              </w:rPr>
            </w:pPr>
            <w:r>
              <w:t>Líderes de Área</w:t>
            </w:r>
          </w:p>
          <w:p w14:paraId="1E942EF9" w14:textId="56FDE309" w:rsidR="003964E8" w:rsidRP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  <w:rPr>
                <w:rStyle w:val="nfasissutil"/>
                <w:b/>
                <w:sz w:val="32"/>
              </w:rPr>
            </w:pPr>
            <w:r>
              <w:t>Ingeniero(a) de Sistemas</w:t>
            </w:r>
          </w:p>
        </w:tc>
        <w:tc>
          <w:tcPr>
            <w:tcW w:w="2916" w:type="dxa"/>
            <w:vAlign w:val="center"/>
          </w:tcPr>
          <w:p w14:paraId="651C587C" w14:textId="2BA71200" w:rsid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Declaración escrita (acta de reunión, circular interna etc.)</w:t>
            </w:r>
          </w:p>
          <w:p w14:paraId="52F9CB22" w14:textId="22B3C1BE" w:rsid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Comunicación verbal</w:t>
            </w:r>
          </w:p>
          <w:p w14:paraId="35DAD86E" w14:textId="5F0454A3" w:rsidR="003964E8" w:rsidRP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  <w:rPr>
                <w:rStyle w:val="nfasissutil"/>
                <w:b/>
                <w:sz w:val="32"/>
              </w:rPr>
            </w:pPr>
            <w:r>
              <w:t>Reuniones con los lideres</w:t>
            </w:r>
          </w:p>
        </w:tc>
      </w:tr>
      <w:tr w:rsidR="00406E49" w14:paraId="48FBD0E3" w14:textId="77777777" w:rsidTr="00406E49">
        <w:trPr>
          <w:trHeight w:val="371"/>
        </w:trPr>
        <w:tc>
          <w:tcPr>
            <w:tcW w:w="1985" w:type="dxa"/>
            <w:vAlign w:val="center"/>
          </w:tcPr>
          <w:p w14:paraId="7FEC0BD1" w14:textId="387E7A47" w:rsidR="00406E49" w:rsidRDefault="00406E49" w:rsidP="00406E49">
            <w:pPr>
              <w:jc w:val="left"/>
            </w:pPr>
            <w:r>
              <w:t>Restablecer prestación de servicio</w:t>
            </w:r>
            <w:r w:rsidR="00E80270">
              <w:t>/</w:t>
            </w:r>
            <w:r>
              <w:t xml:space="preserve"> información</w:t>
            </w:r>
          </w:p>
        </w:tc>
        <w:tc>
          <w:tcPr>
            <w:tcW w:w="1843" w:type="dxa"/>
            <w:vAlign w:val="center"/>
          </w:tcPr>
          <w:p w14:paraId="1D8E4A63" w14:textId="5606896E" w:rsidR="00406E49" w:rsidRDefault="00E80270" w:rsidP="00406E49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 xml:space="preserve">Coordinación del Centro de Servicios  </w:t>
            </w:r>
          </w:p>
        </w:tc>
        <w:tc>
          <w:tcPr>
            <w:tcW w:w="2268" w:type="dxa"/>
            <w:vAlign w:val="center"/>
          </w:tcPr>
          <w:p w14:paraId="0FEF30E8" w14:textId="77777777" w:rsidR="00E80270" w:rsidRPr="00406E49" w:rsidRDefault="00E80270" w:rsidP="00E80270">
            <w:pPr>
              <w:pStyle w:val="Prrafodelista"/>
              <w:numPr>
                <w:ilvl w:val="0"/>
                <w:numId w:val="7"/>
              </w:numPr>
              <w:jc w:val="left"/>
              <w:rPr>
                <w:b/>
                <w:i/>
                <w:iCs/>
                <w:color w:val="595959" w:themeColor="text1" w:themeTint="A6"/>
                <w:sz w:val="32"/>
              </w:rPr>
            </w:pPr>
            <w:r>
              <w:t>Líderes de Área</w:t>
            </w:r>
          </w:p>
          <w:p w14:paraId="76C87C5F" w14:textId="6633F458" w:rsidR="00406E49" w:rsidRDefault="00E80270" w:rsidP="00E80270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Ingeniero(a) de Sistemas</w:t>
            </w:r>
          </w:p>
        </w:tc>
        <w:tc>
          <w:tcPr>
            <w:tcW w:w="2916" w:type="dxa"/>
            <w:vAlign w:val="center"/>
          </w:tcPr>
          <w:p w14:paraId="70D48378" w14:textId="4FB73D28" w:rsid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 xml:space="preserve">Análisis y pruebas </w:t>
            </w:r>
          </w:p>
          <w:p w14:paraId="22D1EF6C" w14:textId="43B20C63" w:rsidR="00406E49" w:rsidRDefault="00406E49" w:rsidP="00406E49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Inspección y verificación</w:t>
            </w:r>
          </w:p>
          <w:p w14:paraId="04584280" w14:textId="57790A0A" w:rsidR="00406E49" w:rsidRDefault="00406E49" w:rsidP="00E80270">
            <w:pPr>
              <w:pStyle w:val="Prrafodelista"/>
              <w:numPr>
                <w:ilvl w:val="0"/>
                <w:numId w:val="7"/>
              </w:numPr>
              <w:jc w:val="left"/>
            </w:pPr>
            <w:r>
              <w:t>Comunicación con l</w:t>
            </w:r>
            <w:r w:rsidR="00E80270">
              <w:t>as</w:t>
            </w:r>
            <w:r>
              <w:t xml:space="preserve"> </w:t>
            </w:r>
            <w:r w:rsidR="00E80270">
              <w:t>partes interesadas en caso de verse afectadas</w:t>
            </w:r>
          </w:p>
        </w:tc>
      </w:tr>
    </w:tbl>
    <w:p w14:paraId="438353C1" w14:textId="6ADAD5C7" w:rsidR="00C74C80" w:rsidRDefault="00C74C80" w:rsidP="00C74C80">
      <w:pPr>
        <w:pStyle w:val="Ttulo1"/>
        <w:numPr>
          <w:ilvl w:val="0"/>
          <w:numId w:val="1"/>
        </w:numPr>
      </w:pPr>
      <w:bookmarkStart w:id="7" w:name="_Toc22832162"/>
      <w:r>
        <w:t>Generalidades del Plan de Continuidad</w:t>
      </w:r>
      <w:bookmarkEnd w:id="7"/>
      <w:r>
        <w:t xml:space="preserve"> </w:t>
      </w:r>
    </w:p>
    <w:p w14:paraId="0F69A50A" w14:textId="3F61F26F" w:rsidR="00C74C80" w:rsidRDefault="00C74C80">
      <w:r>
        <w:t xml:space="preserve">El Plan de Continuidad reúne un conjunto de actividades o procedimientos que facilitarán mantener el normal funcionamiento </w:t>
      </w:r>
      <w:r w:rsidR="00E80270">
        <w:t xml:space="preserve">operativo del Centro de Servicios </w:t>
      </w:r>
      <w:r>
        <w:t>y la prestación de sus servicios</w:t>
      </w:r>
      <w:r w:rsidR="005219D6">
        <w:t>.</w:t>
      </w:r>
      <w:r>
        <w:t xml:space="preserve"> </w:t>
      </w:r>
    </w:p>
    <w:p w14:paraId="27CC732D" w14:textId="5C05840C" w:rsidR="005219D6" w:rsidRDefault="005219D6" w:rsidP="005219D6">
      <w:r w:rsidRPr="009B5E44">
        <w:rPr>
          <w:highlight w:val="yellow"/>
        </w:rPr>
        <w:t>La descripción consecutiva de las actividades en los diferentes momentos estará definida en el documento den</w:t>
      </w:r>
      <w:bookmarkStart w:id="8" w:name="_GoBack"/>
      <w:bookmarkEnd w:id="8"/>
      <w:r w:rsidRPr="009B5E44">
        <w:rPr>
          <w:highlight w:val="yellow"/>
        </w:rPr>
        <w:t>ominado “</w:t>
      </w:r>
      <w:r w:rsidR="009B5E44" w:rsidRPr="009B5E44">
        <w:rPr>
          <w:highlight w:val="yellow"/>
        </w:rPr>
        <w:t xml:space="preserve">CSJCF-DE-MAT03 - </w:t>
      </w:r>
      <w:r w:rsidR="00D938B1" w:rsidRPr="009B5E44">
        <w:rPr>
          <w:highlight w:val="yellow"/>
        </w:rPr>
        <w:t xml:space="preserve">Matriz </w:t>
      </w:r>
      <w:commentRangeStart w:id="9"/>
      <w:r w:rsidRPr="009B5E44">
        <w:rPr>
          <w:highlight w:val="yellow"/>
        </w:rPr>
        <w:t>plan de continuidad</w:t>
      </w:r>
      <w:commentRangeEnd w:id="9"/>
      <w:r w:rsidRPr="009B5E44">
        <w:rPr>
          <w:rStyle w:val="Refdecomentario"/>
          <w:highlight w:val="yellow"/>
        </w:rPr>
        <w:commentReference w:id="9"/>
      </w:r>
      <w:r w:rsidRPr="009B5E44">
        <w:rPr>
          <w:highlight w:val="yellow"/>
        </w:rPr>
        <w:t>” anexo a este documento técnico.</w:t>
      </w:r>
    </w:p>
    <w:p w14:paraId="6E8D577B" w14:textId="43239E8D" w:rsidR="005219D6" w:rsidRDefault="005219D6" w:rsidP="005219D6">
      <w:r>
        <w:t xml:space="preserve">El Plan de Continuidad se establece en tres momentos: </w:t>
      </w:r>
    </w:p>
    <w:p w14:paraId="41DC31D2" w14:textId="3CD946EF" w:rsidR="00C74C80" w:rsidRDefault="00C74C80">
      <w:r w:rsidRPr="003F7915">
        <w:rPr>
          <w:b/>
          <w:color w:val="B01513" w:themeColor="accent1"/>
        </w:rPr>
        <w:t>Preventivo:</w:t>
      </w:r>
      <w:r w:rsidRPr="003F7915">
        <w:rPr>
          <w:color w:val="B01513" w:themeColor="accent1"/>
        </w:rPr>
        <w:t xml:space="preserve"> </w:t>
      </w:r>
      <w:r>
        <w:t>Dentro de este aspecto se involucran los recursos humanos, quienes deben estar preparados en caso de presentarse un evento inesperado, y las acciones anticipadas que se puedan articular a la gestión institucional en los diferentes procesos.</w:t>
      </w:r>
    </w:p>
    <w:p w14:paraId="65BCEBC2" w14:textId="560029DC" w:rsidR="00C74C80" w:rsidRDefault="00C74C80">
      <w:r w:rsidRPr="003F7915">
        <w:rPr>
          <w:b/>
          <w:color w:val="B01513" w:themeColor="accent1"/>
        </w:rPr>
        <w:t>Reactivo:</w:t>
      </w:r>
      <w:r w:rsidRPr="003F7915">
        <w:rPr>
          <w:color w:val="B01513" w:themeColor="accent1"/>
        </w:rPr>
        <w:t xml:space="preserve"> </w:t>
      </w:r>
      <w:r>
        <w:t xml:space="preserve">Este aspecto va dirigido a fortalecer las políticas internas y comunicarlas oportunamente para ponerlas en marcha una vez detectada la contingencia. </w:t>
      </w:r>
    </w:p>
    <w:p w14:paraId="4EDD3F1B" w14:textId="77777777" w:rsidR="005219D6" w:rsidRDefault="00C74C80" w:rsidP="005219D6">
      <w:r w:rsidRPr="003F7915">
        <w:rPr>
          <w:b/>
          <w:color w:val="B01513" w:themeColor="accent1"/>
        </w:rPr>
        <w:t>Recuperación:</w:t>
      </w:r>
      <w:r w:rsidRPr="003F7915">
        <w:rPr>
          <w:color w:val="B01513" w:themeColor="accent1"/>
        </w:rPr>
        <w:t xml:space="preserve"> </w:t>
      </w:r>
      <w:r w:rsidRPr="0076711E">
        <w:t xml:space="preserve">Este aspecto está enfocado en las actividades a desarrollar en el momento de atender una contingencia. </w:t>
      </w:r>
    </w:p>
    <w:p w14:paraId="35698686" w14:textId="77777777" w:rsidR="005219D6" w:rsidRDefault="005219D6" w:rsidP="005219D6"/>
    <w:p w14:paraId="5CB80F0E" w14:textId="77777777" w:rsidR="005219D6" w:rsidRDefault="005219D6" w:rsidP="005219D6"/>
    <w:p w14:paraId="1C2674EA" w14:textId="77777777" w:rsidR="005219D6" w:rsidRDefault="005219D6" w:rsidP="005219D6"/>
    <w:p w14:paraId="11C2DB6A" w14:textId="77777777" w:rsidR="00DA6055" w:rsidRDefault="00DA6055" w:rsidP="005219D6"/>
    <w:p w14:paraId="7B682AF9" w14:textId="77777777" w:rsidR="00DA6055" w:rsidRDefault="00DA6055" w:rsidP="005219D6"/>
    <w:p w14:paraId="0A5FECE8" w14:textId="77777777" w:rsidR="005219D6" w:rsidRDefault="005219D6" w:rsidP="005219D6"/>
    <w:p w14:paraId="67A702C3" w14:textId="0A7AC97B" w:rsidR="00C74C80" w:rsidRPr="00C74C80" w:rsidRDefault="00C74C80" w:rsidP="005219D6">
      <w:pPr>
        <w:pStyle w:val="Ttulo1"/>
        <w:numPr>
          <w:ilvl w:val="0"/>
          <w:numId w:val="1"/>
        </w:numPr>
      </w:pPr>
      <w:bookmarkStart w:id="10" w:name="_Análisis_del_entorno"/>
      <w:bookmarkStart w:id="11" w:name="_Toc22832163"/>
      <w:bookmarkEnd w:id="10"/>
      <w:r w:rsidRPr="00C74C80">
        <w:rPr>
          <w:rStyle w:val="Ttulo1Car"/>
          <w:b/>
          <w:caps/>
        </w:rPr>
        <w:lastRenderedPageBreak/>
        <w:t>Análisis del entorno</w:t>
      </w:r>
      <w:bookmarkEnd w:id="11"/>
    </w:p>
    <w:p w14:paraId="1CF4DFF0" w14:textId="54D05F07" w:rsidR="00FB0A42" w:rsidRDefault="00C74C80">
      <w:r>
        <w:t xml:space="preserve">A partir de las funciones y obligaciones normativas delegadas al </w:t>
      </w:r>
      <w:r w:rsidR="002141DC">
        <w:t>Centro de Servicios Judiciales para los juzgados civiles y de Familia y</w:t>
      </w:r>
      <w:r>
        <w:t xml:space="preserve"> de los compromisos adquiridos con l</w:t>
      </w:r>
      <w:r w:rsidR="00114DF8">
        <w:t>as partes interesadas</w:t>
      </w:r>
      <w:r>
        <w:t>, se consolidan las situaciones que pueden</w:t>
      </w:r>
      <w:r w:rsidR="002141DC">
        <w:t xml:space="preserve"> presentarse </w:t>
      </w:r>
      <w:r>
        <w:t xml:space="preserve">y que ocasionarían un inadecuado desarrollo en la planificación y prestación de los servicios, las cuales se pretenden mitigar con un plan de continuidad formalizado y comunicado, representadas así: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304"/>
      </w:tblGrid>
      <w:tr w:rsidR="00BC0780" w14:paraId="7D44973E" w14:textId="77777777" w:rsidTr="00B05488">
        <w:trPr>
          <w:trHeight w:val="449"/>
        </w:trPr>
        <w:tc>
          <w:tcPr>
            <w:tcW w:w="8828" w:type="dxa"/>
            <w:gridSpan w:val="3"/>
            <w:shd w:val="clear" w:color="auto" w:fill="B01513" w:themeFill="accent1"/>
            <w:vAlign w:val="center"/>
          </w:tcPr>
          <w:p w14:paraId="48A857FE" w14:textId="0F2F853E" w:rsidR="00BC0780" w:rsidRPr="00B05488" w:rsidRDefault="00BC0780" w:rsidP="00FB0A4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B05488">
              <w:rPr>
                <w:b/>
                <w:color w:val="FFFFFF" w:themeColor="background1"/>
              </w:rPr>
              <w:t>CONTEXTO EXTERNO</w:t>
            </w:r>
          </w:p>
        </w:tc>
      </w:tr>
      <w:tr w:rsidR="00FB0A42" w14:paraId="5952A1AE" w14:textId="77777777" w:rsidTr="00B05488">
        <w:trPr>
          <w:trHeight w:val="413"/>
        </w:trPr>
        <w:tc>
          <w:tcPr>
            <w:tcW w:w="2122" w:type="dxa"/>
            <w:shd w:val="clear" w:color="auto" w:fill="F9C6C6" w:themeFill="accent1" w:themeFillTint="33"/>
            <w:vAlign w:val="center"/>
          </w:tcPr>
          <w:p w14:paraId="638486B9" w14:textId="2837A0A6" w:rsidR="00FB0A42" w:rsidRPr="00BC0780" w:rsidRDefault="00BC0780" w:rsidP="00FB0A42">
            <w:pPr>
              <w:jc w:val="center"/>
              <w:rPr>
                <w:b/>
              </w:rPr>
            </w:pPr>
            <w:r w:rsidRPr="00BC0780">
              <w:rPr>
                <w:b/>
              </w:rPr>
              <w:t>Tipo de Situación</w:t>
            </w:r>
          </w:p>
        </w:tc>
        <w:tc>
          <w:tcPr>
            <w:tcW w:w="3402" w:type="dxa"/>
            <w:shd w:val="clear" w:color="auto" w:fill="F9C6C6" w:themeFill="accent1" w:themeFillTint="33"/>
            <w:vAlign w:val="center"/>
          </w:tcPr>
          <w:p w14:paraId="6E315C3E" w14:textId="3C88F80E" w:rsidR="00FB0A42" w:rsidRPr="00BC0780" w:rsidRDefault="00BC0780" w:rsidP="00FB0A42">
            <w:pPr>
              <w:jc w:val="center"/>
              <w:rPr>
                <w:b/>
              </w:rPr>
            </w:pPr>
            <w:r w:rsidRPr="00BC0780">
              <w:rPr>
                <w:b/>
              </w:rPr>
              <w:t>Descripción</w:t>
            </w:r>
          </w:p>
        </w:tc>
        <w:tc>
          <w:tcPr>
            <w:tcW w:w="3304" w:type="dxa"/>
            <w:shd w:val="clear" w:color="auto" w:fill="F9C6C6" w:themeFill="accent1" w:themeFillTint="33"/>
            <w:vAlign w:val="center"/>
          </w:tcPr>
          <w:p w14:paraId="76ACAC15" w14:textId="13AE31A5" w:rsidR="00FB0A42" w:rsidRPr="00BC0780" w:rsidRDefault="00BC0780" w:rsidP="00FB0A42">
            <w:pPr>
              <w:jc w:val="center"/>
              <w:rPr>
                <w:b/>
              </w:rPr>
            </w:pPr>
            <w:r w:rsidRPr="00BC0780">
              <w:rPr>
                <w:b/>
              </w:rPr>
              <w:t>Parte Interesada Involucrada</w:t>
            </w:r>
          </w:p>
        </w:tc>
      </w:tr>
      <w:tr w:rsidR="00FB0A42" w14:paraId="5F11C20E" w14:textId="77777777" w:rsidTr="00BC0780">
        <w:tc>
          <w:tcPr>
            <w:tcW w:w="2122" w:type="dxa"/>
            <w:vAlign w:val="center"/>
          </w:tcPr>
          <w:p w14:paraId="52117A62" w14:textId="65E46E9C" w:rsidR="00FB0A42" w:rsidRDefault="00F6195C" w:rsidP="00FB0A42">
            <w:pPr>
              <w:jc w:val="left"/>
            </w:pPr>
            <w:r>
              <w:t>Económica</w:t>
            </w:r>
            <w:r w:rsidR="00FB0A42">
              <w:t>s</w:t>
            </w:r>
          </w:p>
        </w:tc>
        <w:tc>
          <w:tcPr>
            <w:tcW w:w="3402" w:type="dxa"/>
            <w:vAlign w:val="center"/>
          </w:tcPr>
          <w:p w14:paraId="7A50C4DA" w14:textId="77777777" w:rsidR="00FB0A42" w:rsidRDefault="00FB0A42" w:rsidP="00FB0A4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Recorte presupuestal</w:t>
            </w:r>
          </w:p>
          <w:p w14:paraId="0390EA35" w14:textId="75FE7463" w:rsidR="00FB0A42" w:rsidRDefault="00FB0A42" w:rsidP="00FB0A4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Cambios en la priorización y traslado de recursos</w:t>
            </w:r>
          </w:p>
        </w:tc>
        <w:tc>
          <w:tcPr>
            <w:tcW w:w="3304" w:type="dxa"/>
            <w:vAlign w:val="center"/>
          </w:tcPr>
          <w:p w14:paraId="6975963E" w14:textId="2121BD8D" w:rsidR="00FB0A42" w:rsidRDefault="00FB0A42" w:rsidP="00BC0780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Presidencia de la Republica</w:t>
            </w:r>
          </w:p>
        </w:tc>
      </w:tr>
      <w:tr w:rsidR="00FB0A42" w14:paraId="49FA633A" w14:textId="77777777" w:rsidTr="003C0F90">
        <w:tc>
          <w:tcPr>
            <w:tcW w:w="2122" w:type="dxa"/>
            <w:vAlign w:val="center"/>
          </w:tcPr>
          <w:p w14:paraId="31E6CC74" w14:textId="12B49DE4" w:rsidR="00FB0A42" w:rsidRDefault="00F6195C" w:rsidP="003C0F90">
            <w:pPr>
              <w:jc w:val="left"/>
            </w:pPr>
            <w:r>
              <w:t>Política</w:t>
            </w:r>
            <w:r w:rsidR="00B05488">
              <w:t>s</w:t>
            </w:r>
          </w:p>
        </w:tc>
        <w:tc>
          <w:tcPr>
            <w:tcW w:w="3402" w:type="dxa"/>
            <w:vAlign w:val="center"/>
          </w:tcPr>
          <w:p w14:paraId="7E3E5727" w14:textId="5BF8921E" w:rsidR="00FB0A42" w:rsidRDefault="003C0F90" w:rsidP="003C0F90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C</w:t>
            </w:r>
            <w:r w:rsidR="00B05488">
              <w:t>ambio</w:t>
            </w:r>
            <w:r>
              <w:t>s en las leyes, normatividad y</w:t>
            </w:r>
            <w:r w:rsidR="00B05488">
              <w:t xml:space="preserve"> en las políticas aplicables </w:t>
            </w:r>
            <w:r>
              <w:t xml:space="preserve">al Centro de Servicios </w:t>
            </w:r>
          </w:p>
        </w:tc>
        <w:tc>
          <w:tcPr>
            <w:tcW w:w="3304" w:type="dxa"/>
            <w:vAlign w:val="center"/>
          </w:tcPr>
          <w:p w14:paraId="340730AA" w14:textId="77777777" w:rsidR="00FB0A42" w:rsidRDefault="003C0F90" w:rsidP="003C0F90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Congreso de la Republica</w:t>
            </w:r>
          </w:p>
          <w:p w14:paraId="16D03EFE" w14:textId="77777777" w:rsidR="003C0F90" w:rsidRDefault="003C0F90" w:rsidP="003C0F90">
            <w:pPr>
              <w:pStyle w:val="Prrafodelista"/>
              <w:numPr>
                <w:ilvl w:val="0"/>
                <w:numId w:val="11"/>
              </w:numPr>
              <w:jc w:val="left"/>
            </w:pPr>
            <w:r w:rsidRPr="003C0F90">
              <w:t>Departamento Administrativo de la Función Pública (DAFP)</w:t>
            </w:r>
          </w:p>
          <w:p w14:paraId="2E413707" w14:textId="77777777" w:rsidR="003C0F90" w:rsidRDefault="003C0F90" w:rsidP="003C0F90">
            <w:pPr>
              <w:pStyle w:val="Prrafodelista"/>
              <w:numPr>
                <w:ilvl w:val="0"/>
                <w:numId w:val="11"/>
              </w:numPr>
              <w:jc w:val="left"/>
            </w:pPr>
            <w:r w:rsidRPr="003C0F90">
              <w:t>Organismos de Control (Procuraduría, Contraloría, Personerías)</w:t>
            </w:r>
          </w:p>
          <w:p w14:paraId="38A26B47" w14:textId="7333983A" w:rsidR="003C0F90" w:rsidRDefault="003C0F90" w:rsidP="003C0F90">
            <w:pPr>
              <w:pStyle w:val="Prrafodelista"/>
              <w:numPr>
                <w:ilvl w:val="0"/>
                <w:numId w:val="11"/>
              </w:numPr>
              <w:jc w:val="left"/>
            </w:pPr>
            <w:r w:rsidRPr="003C0F90">
              <w:t>Banco Agrario de Colombia</w:t>
            </w:r>
          </w:p>
        </w:tc>
      </w:tr>
      <w:tr w:rsidR="00FB0A42" w14:paraId="2CB99FD2" w14:textId="77777777" w:rsidTr="00F6195C">
        <w:tc>
          <w:tcPr>
            <w:tcW w:w="2122" w:type="dxa"/>
            <w:vAlign w:val="center"/>
          </w:tcPr>
          <w:p w14:paraId="1D89256E" w14:textId="32504834" w:rsidR="00FB0A42" w:rsidRDefault="00B05488" w:rsidP="00F6195C">
            <w:pPr>
              <w:jc w:val="left"/>
            </w:pPr>
            <w:r>
              <w:t>Sociales</w:t>
            </w:r>
          </w:p>
        </w:tc>
        <w:tc>
          <w:tcPr>
            <w:tcW w:w="3402" w:type="dxa"/>
            <w:vAlign w:val="center"/>
          </w:tcPr>
          <w:p w14:paraId="0F089A3F" w14:textId="0491F1C8" w:rsidR="00F6195C" w:rsidRDefault="00B05488" w:rsidP="00F6195C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Manifestaciones y protestas frecuentes</w:t>
            </w:r>
            <w:r w:rsidR="00F6195C">
              <w:t xml:space="preserve"> </w:t>
            </w:r>
          </w:p>
          <w:p w14:paraId="7554C745" w14:textId="163ED0F4" w:rsidR="00F6195C" w:rsidRDefault="00170BB9" w:rsidP="00F6195C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Amenazas terroristas</w:t>
            </w:r>
          </w:p>
          <w:p w14:paraId="316DAED3" w14:textId="5DE5B0E7" w:rsidR="00FB0A42" w:rsidRDefault="00F6195C" w:rsidP="00F6195C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D</w:t>
            </w:r>
            <w:r w:rsidR="00B05488">
              <w:t xml:space="preserve">años intencionados a la infraestructura del </w:t>
            </w:r>
            <w:r>
              <w:t>Palacio de Justicia</w:t>
            </w:r>
          </w:p>
        </w:tc>
        <w:tc>
          <w:tcPr>
            <w:tcW w:w="3304" w:type="dxa"/>
            <w:vAlign w:val="center"/>
          </w:tcPr>
          <w:p w14:paraId="57D8A187" w14:textId="0F4296EB" w:rsidR="00FB0A42" w:rsidRDefault="00F6195C" w:rsidP="00F6195C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Usuarios y sociedad en General</w:t>
            </w:r>
          </w:p>
        </w:tc>
      </w:tr>
      <w:tr w:rsidR="00FB0A42" w14:paraId="759186A4" w14:textId="77777777" w:rsidTr="00F6195C">
        <w:tc>
          <w:tcPr>
            <w:tcW w:w="2122" w:type="dxa"/>
            <w:vAlign w:val="center"/>
          </w:tcPr>
          <w:p w14:paraId="7BA2D0D6" w14:textId="1A7810C3" w:rsidR="00FB0A42" w:rsidRDefault="00F6195C" w:rsidP="00F6195C">
            <w:pPr>
              <w:jc w:val="left"/>
            </w:pPr>
            <w:r>
              <w:t>Tecnológica</w:t>
            </w:r>
            <w:r w:rsidR="00B05488">
              <w:t>s</w:t>
            </w:r>
          </w:p>
        </w:tc>
        <w:tc>
          <w:tcPr>
            <w:tcW w:w="3402" w:type="dxa"/>
            <w:vAlign w:val="center"/>
          </w:tcPr>
          <w:p w14:paraId="73C61BC0" w14:textId="6CF1C2D3" w:rsidR="00F6195C" w:rsidRDefault="00B05488" w:rsidP="00F6195C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Deficiencia en la interoperabilid</w:t>
            </w:r>
            <w:r w:rsidR="00F6195C">
              <w:t>ad de los sistemas de gobierno</w:t>
            </w:r>
          </w:p>
          <w:p w14:paraId="08A4743D" w14:textId="5CA62988" w:rsidR="00F6195C" w:rsidRDefault="00F6195C" w:rsidP="00F6195C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D</w:t>
            </w:r>
            <w:r w:rsidR="00B05488">
              <w:t>iferencia en las plataformas tecnol</w:t>
            </w:r>
            <w:r>
              <w:t>ógicas de los socios de negocio</w:t>
            </w:r>
            <w:r w:rsidR="00B05488">
              <w:t xml:space="preserve"> </w:t>
            </w:r>
          </w:p>
          <w:p w14:paraId="303297D5" w14:textId="7F776EA8" w:rsidR="00FB0A42" w:rsidRDefault="00F6195C" w:rsidP="00F6195C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A</w:t>
            </w:r>
            <w:r w:rsidR="00B05488">
              <w:t>taques externos a la información y las herramientas tecnológicas</w:t>
            </w:r>
          </w:p>
        </w:tc>
        <w:tc>
          <w:tcPr>
            <w:tcW w:w="3304" w:type="dxa"/>
            <w:vAlign w:val="center"/>
          </w:tcPr>
          <w:p w14:paraId="7AD4C2D5" w14:textId="77777777" w:rsidR="00FB0A42" w:rsidRDefault="00F6195C" w:rsidP="00F6195C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3C0F90">
              <w:t>Banco Agrario de Colombia</w:t>
            </w:r>
          </w:p>
          <w:p w14:paraId="1FF7840C" w14:textId="4C0DA115" w:rsidR="00F6195C" w:rsidRDefault="00F6195C" w:rsidP="00F6195C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F6195C">
              <w:t>Empresa de correo certificado 4-72</w:t>
            </w:r>
          </w:p>
        </w:tc>
      </w:tr>
      <w:tr w:rsidR="00FB0A42" w14:paraId="7D757A3F" w14:textId="77777777" w:rsidTr="00E353D9">
        <w:trPr>
          <w:trHeight w:val="349"/>
        </w:trPr>
        <w:tc>
          <w:tcPr>
            <w:tcW w:w="2122" w:type="dxa"/>
            <w:vAlign w:val="center"/>
          </w:tcPr>
          <w:p w14:paraId="056B6DCB" w14:textId="12238CCA" w:rsidR="00FB0A42" w:rsidRDefault="00B05488" w:rsidP="00E353D9">
            <w:pPr>
              <w:jc w:val="left"/>
            </w:pPr>
            <w:r>
              <w:t>Medio Ambientales</w:t>
            </w:r>
          </w:p>
        </w:tc>
        <w:tc>
          <w:tcPr>
            <w:tcW w:w="3402" w:type="dxa"/>
            <w:vAlign w:val="center"/>
          </w:tcPr>
          <w:p w14:paraId="63B0FC7C" w14:textId="77777777" w:rsidR="00170BB9" w:rsidRDefault="00170BB9" w:rsidP="00E353D9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I</w:t>
            </w:r>
            <w:r w:rsidR="00B05488">
              <w:t>ncendios</w:t>
            </w:r>
          </w:p>
          <w:p w14:paraId="055FADBD" w14:textId="2E9F0088" w:rsidR="00FB0A42" w:rsidRDefault="00170BB9" w:rsidP="00E353D9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T</w:t>
            </w:r>
            <w:r w:rsidR="00B05488">
              <w:t>erremotos</w:t>
            </w:r>
          </w:p>
        </w:tc>
        <w:tc>
          <w:tcPr>
            <w:tcW w:w="3304" w:type="dxa"/>
            <w:vAlign w:val="center"/>
          </w:tcPr>
          <w:p w14:paraId="4298DD7A" w14:textId="678AE772" w:rsidR="00FB0A42" w:rsidRDefault="00E353D9" w:rsidP="00E353D9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Unidad N</w:t>
            </w:r>
            <w:r w:rsidR="00170BB9">
              <w:t xml:space="preserve">acional para la </w:t>
            </w:r>
            <w:r>
              <w:t>G</w:t>
            </w:r>
            <w:r w:rsidR="00170BB9">
              <w:t>estión del Riesgo de Desastres</w:t>
            </w:r>
            <w:r>
              <w:t xml:space="preserve"> (UNGRD)</w:t>
            </w:r>
          </w:p>
        </w:tc>
      </w:tr>
    </w:tbl>
    <w:p w14:paraId="2030A167" w14:textId="77777777" w:rsidR="00922A0A" w:rsidRDefault="00922A0A" w:rsidP="00AA7907">
      <w:pPr>
        <w:spacing w:after="0"/>
      </w:pPr>
    </w:p>
    <w:p w14:paraId="2F8F49A0" w14:textId="0D324BBA" w:rsidR="00922A0A" w:rsidRDefault="00AA7907" w:rsidP="00AA7907">
      <w:pPr>
        <w:spacing w:after="0"/>
      </w:pPr>
      <w:r w:rsidRPr="00AA7907">
        <w:rPr>
          <w:b/>
          <w:u w:val="single"/>
        </w:rPr>
        <w:t>Nota:</w:t>
      </w:r>
      <w:r>
        <w:t xml:space="preserve"> </w:t>
      </w:r>
      <w:r w:rsidR="00922A0A">
        <w:t xml:space="preserve">Para el tratamiento de las situaciones externas, el Centro de Servicios se limita a seguir las directrices </w:t>
      </w:r>
      <w:r w:rsidR="00F14998">
        <w:t>establecidas por</w:t>
      </w:r>
      <w:r w:rsidR="00922A0A">
        <w:t xml:space="preserve"> la parte interesada involucrada.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304"/>
      </w:tblGrid>
      <w:tr w:rsidR="00E17516" w14:paraId="5670B5C2" w14:textId="77777777" w:rsidTr="00E17516">
        <w:trPr>
          <w:trHeight w:val="449"/>
        </w:trPr>
        <w:tc>
          <w:tcPr>
            <w:tcW w:w="8828" w:type="dxa"/>
            <w:gridSpan w:val="3"/>
            <w:shd w:val="clear" w:color="auto" w:fill="EA6312" w:themeFill="accent2"/>
            <w:vAlign w:val="center"/>
          </w:tcPr>
          <w:p w14:paraId="491F724C" w14:textId="20AEA37F" w:rsidR="00E17516" w:rsidRPr="00B05488" w:rsidRDefault="00E17516" w:rsidP="004E54AA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</w:rPr>
              <w:lastRenderedPageBreak/>
              <w:t>CONTEXTO IN</w:t>
            </w:r>
            <w:r w:rsidRPr="00B05488">
              <w:rPr>
                <w:b/>
                <w:color w:val="FFFFFF" w:themeColor="background1"/>
              </w:rPr>
              <w:t>TERNO</w:t>
            </w:r>
          </w:p>
        </w:tc>
      </w:tr>
      <w:tr w:rsidR="00E17516" w14:paraId="678CF810" w14:textId="77777777" w:rsidTr="00E17516">
        <w:trPr>
          <w:trHeight w:val="413"/>
        </w:trPr>
        <w:tc>
          <w:tcPr>
            <w:tcW w:w="2122" w:type="dxa"/>
            <w:shd w:val="clear" w:color="auto" w:fill="FBDFCF" w:themeFill="accent2" w:themeFillTint="33"/>
            <w:vAlign w:val="center"/>
          </w:tcPr>
          <w:p w14:paraId="3CF9BFC0" w14:textId="77777777" w:rsidR="00E17516" w:rsidRPr="00BC0780" w:rsidRDefault="00E17516" w:rsidP="004E54AA">
            <w:pPr>
              <w:jc w:val="center"/>
              <w:rPr>
                <w:b/>
              </w:rPr>
            </w:pPr>
            <w:r w:rsidRPr="00BC0780">
              <w:rPr>
                <w:b/>
              </w:rPr>
              <w:t>Tipo de Situación</w:t>
            </w:r>
          </w:p>
        </w:tc>
        <w:tc>
          <w:tcPr>
            <w:tcW w:w="3402" w:type="dxa"/>
            <w:shd w:val="clear" w:color="auto" w:fill="FBDFCF" w:themeFill="accent2" w:themeFillTint="33"/>
            <w:vAlign w:val="center"/>
          </w:tcPr>
          <w:p w14:paraId="543DEE48" w14:textId="77777777" w:rsidR="00E17516" w:rsidRPr="00BC0780" w:rsidRDefault="00E17516" w:rsidP="004E54AA">
            <w:pPr>
              <w:jc w:val="center"/>
              <w:rPr>
                <w:b/>
              </w:rPr>
            </w:pPr>
            <w:r w:rsidRPr="00BC0780">
              <w:rPr>
                <w:b/>
              </w:rPr>
              <w:t>Descripción</w:t>
            </w:r>
          </w:p>
        </w:tc>
        <w:tc>
          <w:tcPr>
            <w:tcW w:w="3304" w:type="dxa"/>
            <w:shd w:val="clear" w:color="auto" w:fill="FBDFCF" w:themeFill="accent2" w:themeFillTint="33"/>
            <w:vAlign w:val="center"/>
          </w:tcPr>
          <w:p w14:paraId="66EB2F93" w14:textId="77777777" w:rsidR="00E17516" w:rsidRPr="00BC0780" w:rsidRDefault="00E17516" w:rsidP="004E54AA">
            <w:pPr>
              <w:jc w:val="center"/>
              <w:rPr>
                <w:b/>
              </w:rPr>
            </w:pPr>
            <w:r w:rsidRPr="00BC0780">
              <w:rPr>
                <w:b/>
              </w:rPr>
              <w:t>Parte Interesada Involucrada</w:t>
            </w:r>
          </w:p>
        </w:tc>
      </w:tr>
      <w:tr w:rsidR="00E17516" w14:paraId="6ABAEEA1" w14:textId="77777777" w:rsidTr="004E54AA">
        <w:tc>
          <w:tcPr>
            <w:tcW w:w="2122" w:type="dxa"/>
            <w:vAlign w:val="center"/>
          </w:tcPr>
          <w:p w14:paraId="2615599A" w14:textId="21849A66" w:rsidR="00E17516" w:rsidRDefault="007D51CF" w:rsidP="004E54AA">
            <w:pPr>
              <w:jc w:val="left"/>
            </w:pPr>
            <w:r>
              <w:t>Financieras</w:t>
            </w:r>
          </w:p>
        </w:tc>
        <w:tc>
          <w:tcPr>
            <w:tcW w:w="3402" w:type="dxa"/>
            <w:vAlign w:val="center"/>
          </w:tcPr>
          <w:p w14:paraId="1265110B" w14:textId="01125636" w:rsidR="007D51CF" w:rsidRDefault="007D51CF" w:rsidP="007D51CF">
            <w:pPr>
              <w:pStyle w:val="Prrafodelista"/>
              <w:numPr>
                <w:ilvl w:val="0"/>
                <w:numId w:val="15"/>
              </w:numPr>
            </w:pPr>
            <w:r w:rsidRPr="007D51CF">
              <w:t xml:space="preserve">Falta de presupuesto para la ejecución </w:t>
            </w:r>
            <w:r>
              <w:t>de políticas públicas emergentes</w:t>
            </w:r>
          </w:p>
          <w:p w14:paraId="5A0C6B27" w14:textId="0C60BDDE" w:rsidR="00E17516" w:rsidRDefault="007D51CF" w:rsidP="00157BEF">
            <w:pPr>
              <w:pStyle w:val="Prrafodelista"/>
              <w:numPr>
                <w:ilvl w:val="0"/>
                <w:numId w:val="15"/>
              </w:numPr>
            </w:pPr>
            <w:r w:rsidRPr="007D51CF">
              <w:t>Disminución del presupuesto asignado para la adquisición de papelería e insumos de oficina</w:t>
            </w:r>
          </w:p>
        </w:tc>
        <w:tc>
          <w:tcPr>
            <w:tcW w:w="3304" w:type="dxa"/>
            <w:vAlign w:val="center"/>
          </w:tcPr>
          <w:p w14:paraId="69D640C9" w14:textId="77777777" w:rsidR="00E17516" w:rsidRDefault="007D51CF" w:rsidP="007D51CF">
            <w:pPr>
              <w:pStyle w:val="Prrafodelista"/>
              <w:numPr>
                <w:ilvl w:val="0"/>
                <w:numId w:val="10"/>
              </w:numPr>
              <w:jc w:val="left"/>
            </w:pPr>
            <w:r w:rsidRPr="007D51CF">
              <w:t>Consejo Superior de la Judicatura</w:t>
            </w:r>
          </w:p>
          <w:p w14:paraId="29778F23" w14:textId="79BAE80C" w:rsidR="007D51CF" w:rsidRDefault="007D51CF" w:rsidP="007D51CF">
            <w:pPr>
              <w:pStyle w:val="Prrafodelista"/>
              <w:numPr>
                <w:ilvl w:val="0"/>
                <w:numId w:val="10"/>
              </w:numPr>
              <w:jc w:val="left"/>
            </w:pPr>
            <w:r w:rsidRPr="007D51CF">
              <w:t>Dirección Ejecutiva Seccional de Administración Judicial</w:t>
            </w:r>
          </w:p>
        </w:tc>
      </w:tr>
      <w:tr w:rsidR="00E17516" w14:paraId="2B3635BD" w14:textId="77777777" w:rsidTr="004E54AA">
        <w:tc>
          <w:tcPr>
            <w:tcW w:w="2122" w:type="dxa"/>
            <w:vAlign w:val="center"/>
          </w:tcPr>
          <w:p w14:paraId="20618A2E" w14:textId="496BB626" w:rsidR="00E17516" w:rsidRDefault="007D51CF" w:rsidP="004E54AA">
            <w:pPr>
              <w:jc w:val="left"/>
            </w:pPr>
            <w:r>
              <w:t>Relacionadas con el Personal</w:t>
            </w:r>
          </w:p>
        </w:tc>
        <w:tc>
          <w:tcPr>
            <w:tcW w:w="3402" w:type="dxa"/>
            <w:vAlign w:val="center"/>
          </w:tcPr>
          <w:p w14:paraId="6E60775E" w14:textId="77777777" w:rsidR="00555E6C" w:rsidRDefault="00E17516" w:rsidP="00555E6C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Planta de personal insuficiente</w:t>
            </w:r>
          </w:p>
          <w:p w14:paraId="4DF9EFFE" w14:textId="7315B455" w:rsidR="00555E6C" w:rsidRDefault="00555E6C" w:rsidP="00555E6C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N</w:t>
            </w:r>
            <w:r w:rsidR="00E17516">
              <w:t xml:space="preserve">uevas exigencias de competencias del personal </w:t>
            </w:r>
          </w:p>
          <w:p w14:paraId="04729107" w14:textId="13AF0AC4" w:rsidR="00555E6C" w:rsidRDefault="00555E6C" w:rsidP="00555E6C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F</w:t>
            </w:r>
            <w:r w:rsidR="00E17516">
              <w:t>alta de motivación</w:t>
            </w:r>
            <w:r>
              <w:t xml:space="preserve"> e involucramiento del personal</w:t>
            </w:r>
          </w:p>
          <w:p w14:paraId="58FECB92" w14:textId="7299DD7B" w:rsidR="00E17516" w:rsidRDefault="00555E6C" w:rsidP="00555E6C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A</w:t>
            </w:r>
            <w:r w:rsidR="00E17516">
              <w:t xml:space="preserve">lta rotación de personal </w:t>
            </w:r>
          </w:p>
        </w:tc>
        <w:tc>
          <w:tcPr>
            <w:tcW w:w="3304" w:type="dxa"/>
            <w:vAlign w:val="center"/>
          </w:tcPr>
          <w:p w14:paraId="418575C7" w14:textId="77777777" w:rsidR="00555E6C" w:rsidRDefault="00555E6C" w:rsidP="00555E6C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7D51CF">
              <w:t>Consejo Superior de la Judicatura</w:t>
            </w:r>
          </w:p>
          <w:p w14:paraId="24A1B752" w14:textId="614C539F" w:rsidR="00555E6C" w:rsidRDefault="00555E6C" w:rsidP="004E54AA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7D51CF">
              <w:t>Dirección Ejecutiva Seccional de Administración Judicial</w:t>
            </w:r>
          </w:p>
          <w:p w14:paraId="24F6CD7F" w14:textId="3BD966D2" w:rsidR="00E17516" w:rsidRDefault="00555E6C" w:rsidP="00555E6C">
            <w:pPr>
              <w:pStyle w:val="Prrafodelista"/>
              <w:numPr>
                <w:ilvl w:val="0"/>
                <w:numId w:val="16"/>
              </w:numPr>
              <w:jc w:val="left"/>
            </w:pPr>
            <w:r w:rsidRPr="00555E6C">
              <w:t>Comité de Seguimiento y Control del Centro de Servicios Civil - Familia</w:t>
            </w:r>
          </w:p>
        </w:tc>
      </w:tr>
      <w:tr w:rsidR="00E17516" w14:paraId="16ABBDA3" w14:textId="77777777" w:rsidTr="004E54AA">
        <w:tc>
          <w:tcPr>
            <w:tcW w:w="2122" w:type="dxa"/>
            <w:vAlign w:val="center"/>
          </w:tcPr>
          <w:p w14:paraId="59B85AC4" w14:textId="3A326633" w:rsidR="00E17516" w:rsidRDefault="007D51CF" w:rsidP="004E54AA">
            <w:pPr>
              <w:jc w:val="left"/>
            </w:pPr>
            <w:r>
              <w:t>Procesos</w:t>
            </w:r>
          </w:p>
        </w:tc>
        <w:tc>
          <w:tcPr>
            <w:tcW w:w="3402" w:type="dxa"/>
            <w:vAlign w:val="center"/>
          </w:tcPr>
          <w:p w14:paraId="587E4F6A" w14:textId="2EC7102F" w:rsidR="007120AC" w:rsidRDefault="007120AC" w:rsidP="007120AC">
            <w:pPr>
              <w:pStyle w:val="Prrafodelista"/>
              <w:numPr>
                <w:ilvl w:val="0"/>
                <w:numId w:val="17"/>
              </w:numPr>
              <w:jc w:val="left"/>
            </w:pPr>
            <w:r>
              <w:t>D</w:t>
            </w:r>
            <w:r w:rsidR="00E17516">
              <w:t>esconocimiento de los procesos</w:t>
            </w:r>
          </w:p>
          <w:p w14:paraId="667E2928" w14:textId="5D3DDD0E" w:rsidR="007120AC" w:rsidRDefault="007120AC" w:rsidP="007120AC">
            <w:pPr>
              <w:pStyle w:val="Prrafodelista"/>
              <w:numPr>
                <w:ilvl w:val="0"/>
                <w:numId w:val="17"/>
              </w:numPr>
              <w:jc w:val="left"/>
            </w:pPr>
            <w:r>
              <w:t>D</w:t>
            </w:r>
            <w:r w:rsidR="00E17516">
              <w:t>esconocimiento del nivel de responsabilidad y autoridad de los procesos</w:t>
            </w:r>
          </w:p>
          <w:p w14:paraId="344D0C69" w14:textId="4AE1C3C1" w:rsidR="00E17516" w:rsidRDefault="007120AC" w:rsidP="007120AC">
            <w:pPr>
              <w:pStyle w:val="Prrafodelista"/>
              <w:numPr>
                <w:ilvl w:val="0"/>
                <w:numId w:val="17"/>
              </w:numPr>
              <w:jc w:val="left"/>
            </w:pPr>
            <w:r>
              <w:t xml:space="preserve">No asistencia a las </w:t>
            </w:r>
            <w:r w:rsidR="00E17516">
              <w:t>capacitaciones</w:t>
            </w:r>
            <w:r>
              <w:t xml:space="preserve"> relacionadas con cambios en los procesos</w:t>
            </w:r>
            <w:r w:rsidR="00E17516">
              <w:t xml:space="preserve"> </w:t>
            </w:r>
          </w:p>
        </w:tc>
        <w:tc>
          <w:tcPr>
            <w:tcW w:w="3304" w:type="dxa"/>
            <w:vAlign w:val="center"/>
          </w:tcPr>
          <w:p w14:paraId="76BCAC93" w14:textId="77777777" w:rsidR="00E17516" w:rsidRDefault="007120AC" w:rsidP="007120AC">
            <w:pPr>
              <w:pStyle w:val="Prrafodelista"/>
              <w:numPr>
                <w:ilvl w:val="0"/>
                <w:numId w:val="12"/>
              </w:numPr>
              <w:jc w:val="left"/>
            </w:pPr>
            <w:r w:rsidRPr="007120AC">
              <w:t>Servidores Judiciales del Centro de Servicios Civil-Familia</w:t>
            </w:r>
          </w:p>
          <w:p w14:paraId="42068CBB" w14:textId="77777777" w:rsidR="007120AC" w:rsidRDefault="007120AC" w:rsidP="007120AC">
            <w:pPr>
              <w:pStyle w:val="Prrafodelista"/>
              <w:numPr>
                <w:ilvl w:val="0"/>
                <w:numId w:val="12"/>
              </w:numPr>
              <w:jc w:val="left"/>
            </w:pPr>
            <w:r w:rsidRPr="007120AC">
              <w:t>Sala Civil Familia, Juzgados de Familia, Juzgados Civ</w:t>
            </w:r>
            <w:r>
              <w:t>iles del circuito y Municipales</w:t>
            </w:r>
          </w:p>
          <w:p w14:paraId="0AE1E21A" w14:textId="2BE7FDBB" w:rsidR="007120AC" w:rsidRDefault="007120AC" w:rsidP="007120AC">
            <w:pPr>
              <w:pStyle w:val="Prrafodelista"/>
              <w:numPr>
                <w:ilvl w:val="0"/>
                <w:numId w:val="12"/>
              </w:numPr>
              <w:jc w:val="left"/>
            </w:pPr>
            <w:r w:rsidRPr="007120AC">
              <w:t>Oficina Judicial</w:t>
            </w:r>
          </w:p>
        </w:tc>
      </w:tr>
      <w:tr w:rsidR="00E17516" w14:paraId="61FE46C4" w14:textId="77777777" w:rsidTr="004E54AA">
        <w:tc>
          <w:tcPr>
            <w:tcW w:w="2122" w:type="dxa"/>
            <w:vAlign w:val="center"/>
          </w:tcPr>
          <w:p w14:paraId="5596E6E9" w14:textId="2FB9B66A" w:rsidR="00E17516" w:rsidRDefault="00E17516" w:rsidP="004E54AA">
            <w:pPr>
              <w:jc w:val="left"/>
            </w:pPr>
            <w:r>
              <w:t>Tecnológicas</w:t>
            </w:r>
          </w:p>
        </w:tc>
        <w:tc>
          <w:tcPr>
            <w:tcW w:w="3402" w:type="dxa"/>
            <w:vAlign w:val="center"/>
          </w:tcPr>
          <w:p w14:paraId="3DCA8AD5" w14:textId="55283D27" w:rsidR="007120AC" w:rsidRDefault="007120AC" w:rsidP="004E54AA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D</w:t>
            </w:r>
            <w:r w:rsidR="00E17516">
              <w:t>esarticulación de las herr</w:t>
            </w:r>
            <w:r>
              <w:t>amientas y aplicativos internos</w:t>
            </w:r>
          </w:p>
          <w:p w14:paraId="1ED5DFAB" w14:textId="1CC636DA" w:rsidR="007120AC" w:rsidRDefault="007120AC" w:rsidP="004E54AA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F</w:t>
            </w:r>
            <w:r w:rsidR="00E17516">
              <w:t xml:space="preserve">allas en </w:t>
            </w:r>
            <w:r>
              <w:t>la infraestructura tecnológica</w:t>
            </w:r>
          </w:p>
          <w:p w14:paraId="27833FA4" w14:textId="71EE17CB" w:rsidR="007120AC" w:rsidRDefault="007120AC" w:rsidP="004E54AA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F</w:t>
            </w:r>
            <w:r w:rsidR="00E17516">
              <w:t>allas en el sistema de seguridad de la información</w:t>
            </w:r>
          </w:p>
          <w:p w14:paraId="5ED6A322" w14:textId="389C8F3E" w:rsidR="00E17516" w:rsidRDefault="007120AC" w:rsidP="007120AC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D</w:t>
            </w:r>
            <w:r w:rsidR="00E17516">
              <w:t xml:space="preserve">esconocimiento de los niveles de responsabilidad y </w:t>
            </w:r>
            <w:r>
              <w:t>autoridad frente a los sistemas</w:t>
            </w:r>
          </w:p>
        </w:tc>
        <w:tc>
          <w:tcPr>
            <w:tcW w:w="3304" w:type="dxa"/>
            <w:vAlign w:val="center"/>
          </w:tcPr>
          <w:p w14:paraId="2DBD0537" w14:textId="77777777" w:rsidR="007120AC" w:rsidRDefault="007120AC" w:rsidP="007120AC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7D51CF">
              <w:t>Consejo Superior de la Judicatura</w:t>
            </w:r>
          </w:p>
          <w:p w14:paraId="477DD94F" w14:textId="77777777" w:rsidR="007120AC" w:rsidRDefault="007120AC" w:rsidP="007120AC">
            <w:pPr>
              <w:pStyle w:val="Prrafodelista"/>
              <w:numPr>
                <w:ilvl w:val="0"/>
                <w:numId w:val="13"/>
              </w:numPr>
              <w:jc w:val="left"/>
            </w:pPr>
            <w:r w:rsidRPr="007D51CF">
              <w:t>Dirección Ejecutiva Seccional de Administración Judicial</w:t>
            </w:r>
          </w:p>
          <w:p w14:paraId="2EE5406E" w14:textId="054CAA4A" w:rsidR="00DA6055" w:rsidRDefault="00DA6055" w:rsidP="007120AC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Coordinación de Mantenimiento y Soporte Tecnológico.</w:t>
            </w:r>
          </w:p>
          <w:p w14:paraId="45684D1C" w14:textId="77777777" w:rsidR="00E17516" w:rsidRDefault="00157BEF" w:rsidP="007120AC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>Servidores Judiciales</w:t>
            </w:r>
          </w:p>
          <w:p w14:paraId="292A9762" w14:textId="1D9B667D" w:rsidR="00157BEF" w:rsidRDefault="00157BEF" w:rsidP="007120AC">
            <w:pPr>
              <w:pStyle w:val="Prrafodelista"/>
              <w:numPr>
                <w:ilvl w:val="0"/>
                <w:numId w:val="13"/>
              </w:numPr>
              <w:jc w:val="left"/>
            </w:pPr>
            <w:r>
              <w:t xml:space="preserve">Área de Sistemas del centro de Servicios </w:t>
            </w:r>
          </w:p>
        </w:tc>
      </w:tr>
      <w:tr w:rsidR="00E17516" w14:paraId="4D86D88F" w14:textId="77777777" w:rsidTr="004E54AA">
        <w:trPr>
          <w:trHeight w:val="349"/>
        </w:trPr>
        <w:tc>
          <w:tcPr>
            <w:tcW w:w="2122" w:type="dxa"/>
            <w:vAlign w:val="center"/>
          </w:tcPr>
          <w:p w14:paraId="72EDC7EF" w14:textId="4D6314E5" w:rsidR="00E17516" w:rsidRDefault="007D51CF" w:rsidP="004E54AA">
            <w:pPr>
              <w:jc w:val="left"/>
            </w:pPr>
            <w:r>
              <w:t>Estratégicas</w:t>
            </w:r>
          </w:p>
        </w:tc>
        <w:tc>
          <w:tcPr>
            <w:tcW w:w="3402" w:type="dxa"/>
            <w:vAlign w:val="center"/>
          </w:tcPr>
          <w:p w14:paraId="6DB78EB7" w14:textId="77777777" w:rsidR="00157BEF" w:rsidRDefault="00E17516" w:rsidP="004E54AA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Cambios en la gestión institucional sin planificación y comunicación oportuna</w:t>
            </w:r>
          </w:p>
          <w:p w14:paraId="7CE0A69D" w14:textId="77777777" w:rsidR="00157BEF" w:rsidRDefault="00157BEF" w:rsidP="00157BEF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F</w:t>
            </w:r>
            <w:r w:rsidR="00E17516">
              <w:t>allas en la comunicación y solicitud de información a las dependencias</w:t>
            </w:r>
          </w:p>
          <w:p w14:paraId="79B46995" w14:textId="7A39D938" w:rsidR="00E17516" w:rsidRDefault="00157BEF" w:rsidP="00157BEF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F</w:t>
            </w:r>
            <w:r w:rsidR="00E17516">
              <w:t>allas</w:t>
            </w:r>
            <w:r>
              <w:t xml:space="preserve"> en los sistemas de información</w:t>
            </w:r>
          </w:p>
        </w:tc>
        <w:tc>
          <w:tcPr>
            <w:tcW w:w="3304" w:type="dxa"/>
            <w:vAlign w:val="center"/>
          </w:tcPr>
          <w:p w14:paraId="1294D081" w14:textId="77777777" w:rsidR="00E17516" w:rsidRDefault="00157BEF" w:rsidP="004E54AA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 xml:space="preserve">Coordinación del Centro de Servicios </w:t>
            </w:r>
          </w:p>
          <w:p w14:paraId="19437FB4" w14:textId="720F95DD" w:rsidR="00157BEF" w:rsidRDefault="00157BEF" w:rsidP="004E54AA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Área de Sistemas del centro de Servicios</w:t>
            </w:r>
          </w:p>
        </w:tc>
      </w:tr>
      <w:tr w:rsidR="00E17516" w14:paraId="5B5DFA56" w14:textId="77777777" w:rsidTr="004E54AA">
        <w:trPr>
          <w:trHeight w:val="349"/>
        </w:trPr>
        <w:tc>
          <w:tcPr>
            <w:tcW w:w="2122" w:type="dxa"/>
            <w:vAlign w:val="center"/>
          </w:tcPr>
          <w:p w14:paraId="39CE2F2F" w14:textId="74211CB6" w:rsidR="00E17516" w:rsidRDefault="00E17516" w:rsidP="00157BEF">
            <w:pPr>
              <w:jc w:val="left"/>
            </w:pPr>
            <w:r>
              <w:lastRenderedPageBreak/>
              <w:t xml:space="preserve">Comunicación </w:t>
            </w:r>
            <w:r w:rsidR="00157BEF">
              <w:t>I</w:t>
            </w:r>
            <w:r>
              <w:t>nterna</w:t>
            </w:r>
          </w:p>
        </w:tc>
        <w:tc>
          <w:tcPr>
            <w:tcW w:w="3402" w:type="dxa"/>
            <w:vAlign w:val="center"/>
          </w:tcPr>
          <w:p w14:paraId="354B607B" w14:textId="398F9F17" w:rsidR="00157BEF" w:rsidRDefault="00157BEF" w:rsidP="004E54AA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S</w:t>
            </w:r>
            <w:r w:rsidR="00E17516">
              <w:t xml:space="preserve">aturación de </w:t>
            </w:r>
            <w:r>
              <w:t>información en los canales internos (intranet)</w:t>
            </w:r>
          </w:p>
          <w:p w14:paraId="39EB91EA" w14:textId="383AAE25" w:rsidR="00157BEF" w:rsidRDefault="00E17516" w:rsidP="004E54AA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Inoportunid</w:t>
            </w:r>
            <w:r w:rsidR="00157BEF">
              <w:t>ad en la entrega de información</w:t>
            </w:r>
          </w:p>
          <w:p w14:paraId="35F4DEBD" w14:textId="0FCB6F90" w:rsidR="00157BEF" w:rsidRDefault="00157BEF" w:rsidP="00157BEF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F</w:t>
            </w:r>
            <w:r w:rsidR="00E17516">
              <w:t>alta de registros de información y contactos actualizados y protegidos</w:t>
            </w:r>
          </w:p>
        </w:tc>
        <w:tc>
          <w:tcPr>
            <w:tcW w:w="3304" w:type="dxa"/>
            <w:vAlign w:val="center"/>
          </w:tcPr>
          <w:p w14:paraId="67CFF365" w14:textId="77777777" w:rsidR="00157BEF" w:rsidRDefault="00157BEF" w:rsidP="00157BEF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 xml:space="preserve">Coordinación del Centro de Servicios </w:t>
            </w:r>
          </w:p>
          <w:p w14:paraId="19BB78C0" w14:textId="77777777" w:rsidR="00E17516" w:rsidRDefault="00157BEF" w:rsidP="00157BEF">
            <w:pPr>
              <w:pStyle w:val="Prrafodelista"/>
              <w:numPr>
                <w:ilvl w:val="0"/>
                <w:numId w:val="14"/>
              </w:numPr>
              <w:jc w:val="left"/>
            </w:pPr>
            <w:r w:rsidRPr="007120AC">
              <w:t>Servidores Judiciales del Centro de Servicios Civil-Familia</w:t>
            </w:r>
          </w:p>
          <w:p w14:paraId="0E11C923" w14:textId="4814265B" w:rsidR="00DA6055" w:rsidRDefault="00DA6055" w:rsidP="00157BEF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Área de Sistemas del centro de Servicios</w:t>
            </w:r>
          </w:p>
        </w:tc>
      </w:tr>
    </w:tbl>
    <w:p w14:paraId="1BAB13E8" w14:textId="3C1756E1" w:rsidR="00C74C80" w:rsidRDefault="00C74C80" w:rsidP="00C74C80">
      <w:pPr>
        <w:pStyle w:val="Ttulo1"/>
        <w:numPr>
          <w:ilvl w:val="0"/>
          <w:numId w:val="1"/>
        </w:numPr>
      </w:pPr>
      <w:bookmarkStart w:id="12" w:name="_Toc22832164"/>
      <w:r>
        <w:t>Riesgos asociados a la continuidad del negocio</w:t>
      </w:r>
      <w:bookmarkEnd w:id="12"/>
    </w:p>
    <w:p w14:paraId="38C5DA01" w14:textId="77777777" w:rsidR="00DA59EA" w:rsidRDefault="00893D77">
      <w:r>
        <w:t xml:space="preserve">El Centro de Servicios </w:t>
      </w:r>
      <w:r w:rsidR="00C74C80">
        <w:t xml:space="preserve">contempla implícitamente en la gestión de sus procesos la identificación y administración de los riesgos como práctica para impedir que eventualidades internas o externas impidan cumplir sus objetivos, por lo cual, al desarrollar el plan de continuidad del negocio se integra la metodología de riesgos aplicada y el control preventivo, </w:t>
      </w:r>
      <w:proofErr w:type="spellStart"/>
      <w:r w:rsidR="00C74C80">
        <w:t>detectivo</w:t>
      </w:r>
      <w:proofErr w:type="spellEnd"/>
      <w:r w:rsidR="00C74C80">
        <w:t xml:space="preserve"> y correctivo de dicho plan queda asociado a</w:t>
      </w:r>
      <w:r w:rsidR="0001219E">
        <w:t xml:space="preserve"> su</w:t>
      </w:r>
      <w:r w:rsidR="00C74C80">
        <w:t xml:space="preserve"> mapa de riesgos.</w:t>
      </w:r>
    </w:p>
    <w:p w14:paraId="1E99D0EB" w14:textId="27C31EF5" w:rsidR="00C74C80" w:rsidRDefault="00C74C80">
      <w:r>
        <w:t>A continuación se definen los criterios para los riesgos asociados a la continuidad del servicio aclarando que se atenderán y hará parte de</w:t>
      </w:r>
      <w:r w:rsidR="002D6315">
        <w:t xml:space="preserve"> </w:t>
      </w:r>
      <w:r>
        <w:t>l</w:t>
      </w:r>
      <w:r w:rsidR="002D6315">
        <w:t>a</w:t>
      </w:r>
      <w:r>
        <w:t xml:space="preserve"> ma</w:t>
      </w:r>
      <w:r w:rsidR="002D6315">
        <w:t>triz</w:t>
      </w:r>
      <w:r>
        <w:t xml:space="preserve"> de riesgos </w:t>
      </w:r>
      <w:r w:rsidR="002D6315">
        <w:t>del Centro de Servicios</w:t>
      </w:r>
      <w:r>
        <w:t xml:space="preserve"> los </w:t>
      </w:r>
      <w:r w:rsidR="002D6315">
        <w:t>que se posicionen en</w:t>
      </w:r>
      <w:r>
        <w:t xml:space="preserve"> la dimensión 5 x 5</w:t>
      </w:r>
      <w:r w:rsidR="002D6315">
        <w:t xml:space="preserve"> (Impacto-Catastrófico y Probabilidad-Casi Seguro)</w:t>
      </w:r>
      <w:r>
        <w:t xml:space="preserve"> y se identifiquen </w:t>
      </w:r>
      <w:r w:rsidR="00857C79">
        <w:t>en la</w:t>
      </w:r>
      <w:r w:rsidR="002D6315">
        <w:t xml:space="preserve"> </w:t>
      </w:r>
      <w:r w:rsidR="002D6315" w:rsidRPr="002D6315">
        <w:rPr>
          <w:b/>
        </w:rPr>
        <w:t>25.</w:t>
      </w:r>
      <w:r w:rsidR="00857C79" w:rsidRPr="002D6315">
        <w:rPr>
          <w:b/>
        </w:rPr>
        <w:t xml:space="preserve"> Zona de Riesgo Extrema</w:t>
      </w:r>
      <w:r>
        <w:t>:</w:t>
      </w: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693"/>
        <w:gridCol w:w="1384"/>
        <w:gridCol w:w="1444"/>
        <w:gridCol w:w="1420"/>
        <w:gridCol w:w="1471"/>
      </w:tblGrid>
      <w:tr w:rsidR="00DA59EA" w:rsidRPr="00DA59EA" w14:paraId="304BDB58" w14:textId="77777777" w:rsidTr="000547B2">
        <w:trPr>
          <w:trHeight w:val="270"/>
        </w:trPr>
        <w:tc>
          <w:tcPr>
            <w:tcW w:w="12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33399"/>
            <w:noWrap/>
            <w:vAlign w:val="center"/>
            <w:hideMark/>
          </w:tcPr>
          <w:p w14:paraId="46161EB7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4"/>
                <w:lang w:eastAsia="es-ES"/>
              </w:rPr>
              <w:t>PROBABILIDAD</w:t>
            </w:r>
          </w:p>
        </w:tc>
        <w:tc>
          <w:tcPr>
            <w:tcW w:w="7513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33399"/>
            <w:vAlign w:val="center"/>
            <w:hideMark/>
          </w:tcPr>
          <w:p w14:paraId="59A52A12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4"/>
                <w:lang w:eastAsia="es-ES"/>
              </w:rPr>
              <w:t>IMPACTO</w:t>
            </w:r>
          </w:p>
        </w:tc>
      </w:tr>
      <w:tr w:rsidR="00B3067F" w:rsidRPr="00DA59EA" w14:paraId="27EFE610" w14:textId="77777777" w:rsidTr="000547B2">
        <w:trPr>
          <w:trHeight w:val="367"/>
        </w:trPr>
        <w:tc>
          <w:tcPr>
            <w:tcW w:w="12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2A7A89" w14:textId="77777777" w:rsidR="00DA59EA" w:rsidRPr="00DA59EA" w:rsidRDefault="00DA59EA" w:rsidP="00DA59E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ABC31F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>1 Insignificante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D9D9D9"/>
            <w:vAlign w:val="center"/>
            <w:hideMark/>
          </w:tcPr>
          <w:p w14:paraId="1C42AD94" w14:textId="77777777" w:rsid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 xml:space="preserve">2 </w:t>
            </w:r>
          </w:p>
          <w:p w14:paraId="61693E92" w14:textId="4509D896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>Menor</w:t>
            </w:r>
          </w:p>
        </w:tc>
        <w:tc>
          <w:tcPr>
            <w:tcW w:w="1460" w:type="dxa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D9D9D9"/>
            <w:vAlign w:val="center"/>
            <w:hideMark/>
          </w:tcPr>
          <w:p w14:paraId="25C6D9D2" w14:textId="77777777" w:rsid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 xml:space="preserve">3 </w:t>
            </w:r>
          </w:p>
          <w:p w14:paraId="1D925DBA" w14:textId="589F1345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>Moderado</w:t>
            </w:r>
          </w:p>
        </w:tc>
        <w:tc>
          <w:tcPr>
            <w:tcW w:w="1460" w:type="dxa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D9D9D9"/>
            <w:vAlign w:val="center"/>
            <w:hideMark/>
          </w:tcPr>
          <w:p w14:paraId="69B330EE" w14:textId="77777777" w:rsid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 xml:space="preserve">4  </w:t>
            </w:r>
          </w:p>
          <w:p w14:paraId="1322779F" w14:textId="1A6905C3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>Mayor</w:t>
            </w:r>
          </w:p>
        </w:tc>
        <w:tc>
          <w:tcPr>
            <w:tcW w:w="1474" w:type="dxa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D9D9D9"/>
            <w:vAlign w:val="center"/>
            <w:hideMark/>
          </w:tcPr>
          <w:p w14:paraId="2C53DA71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ES"/>
              </w:rPr>
              <w:t>5 Catastrófico</w:t>
            </w:r>
          </w:p>
        </w:tc>
      </w:tr>
      <w:tr w:rsidR="00B3067F" w:rsidRPr="00DA59EA" w14:paraId="104CBF61" w14:textId="77777777" w:rsidTr="000547B2">
        <w:trPr>
          <w:trHeight w:val="360"/>
        </w:trPr>
        <w:tc>
          <w:tcPr>
            <w:tcW w:w="1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959B274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  <w:t>1 Raro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411FE049" w14:textId="34898AA8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1. Zona de Riesgo Baja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7EEC29AE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2. Zona de Riesgo Baja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07FE42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 xml:space="preserve">3. Zona de riesgo </w:t>
            </w: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Moderada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5EB2022A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4. Zona de riesgo Alta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6E09FD71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5. Zona de riesgo Alta</w:t>
            </w:r>
          </w:p>
        </w:tc>
      </w:tr>
      <w:tr w:rsidR="00B3067F" w:rsidRPr="00DA59EA" w14:paraId="23C8765D" w14:textId="77777777" w:rsidTr="000547B2">
        <w:trPr>
          <w:trHeight w:val="735"/>
        </w:trPr>
        <w:tc>
          <w:tcPr>
            <w:tcW w:w="1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56B24B" w14:textId="77777777" w:rsidR="00DA59EA" w:rsidRPr="00DA59EA" w:rsidRDefault="00DA59EA" w:rsidP="00DA59E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7802E114" w14:textId="5DECE2BE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Asumir el riesgo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181A398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Asumir el riesgo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6DC448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Asumir el riesgo, reducir el riesgo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5F0FAB43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 xml:space="preserve">Reducir el riesgo, evitar el riesgo, compartir o </w:t>
            </w:r>
            <w:proofErr w:type="spellStart"/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transferir</w:t>
            </w: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r</w:t>
            </w:r>
            <w:proofErr w:type="spellEnd"/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772A1083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Reducir el riesgo, evitar el riesgo, compartir o transferi</w:t>
            </w: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r</w:t>
            </w:r>
          </w:p>
        </w:tc>
      </w:tr>
      <w:tr w:rsidR="00B3067F" w:rsidRPr="00DA59EA" w14:paraId="6FBB5C5D" w14:textId="77777777" w:rsidTr="000547B2">
        <w:trPr>
          <w:trHeight w:val="360"/>
        </w:trPr>
        <w:tc>
          <w:tcPr>
            <w:tcW w:w="1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C71A287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  <w:t>2 Improbable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0E74FF98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2. Zona de Riesgo Baja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397E28EF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4. Zona de Riesgo Baja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F533F0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6.  Zona de riesgo Moderada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54D6533B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8.Zona de riesgo Alta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D43DE7E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10.: Zona de riesgo Extrema</w:t>
            </w:r>
          </w:p>
        </w:tc>
      </w:tr>
      <w:tr w:rsidR="00B3067F" w:rsidRPr="00DA59EA" w14:paraId="392987EB" w14:textId="77777777" w:rsidTr="000547B2">
        <w:trPr>
          <w:trHeight w:val="735"/>
        </w:trPr>
        <w:tc>
          <w:tcPr>
            <w:tcW w:w="1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D35EC4" w14:textId="77777777" w:rsidR="00DA59EA" w:rsidRPr="00DA59EA" w:rsidRDefault="00DA59EA" w:rsidP="00DA59E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24E725CD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Asumir el riesgo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52A1DD79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Asumir el riesgo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BA5E0C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Asumir el riesgo, reducir el riesgo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56B6CC33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Reducir el riesgo, evitar el riesgo, compartir o transferir</w:t>
            </w: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DC49233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</w:tr>
      <w:tr w:rsidR="00B3067F" w:rsidRPr="00DA59EA" w14:paraId="560F5194" w14:textId="77777777" w:rsidTr="000547B2">
        <w:trPr>
          <w:trHeight w:val="360"/>
        </w:trPr>
        <w:tc>
          <w:tcPr>
            <w:tcW w:w="1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950109A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  <w:t>3 Moderado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5F998955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3 Zona de Riesgo Baja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0367439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6. Zona de riesgo Moderada.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64156939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8. A: Zona de riesgo Alta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472AA97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12. Zona de riesgo Extrema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E07387F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15. Zona de riesgo Extrema</w:t>
            </w:r>
          </w:p>
        </w:tc>
      </w:tr>
      <w:tr w:rsidR="00B3067F" w:rsidRPr="00DA59EA" w14:paraId="70F095C8" w14:textId="77777777" w:rsidTr="000547B2">
        <w:trPr>
          <w:trHeight w:val="555"/>
        </w:trPr>
        <w:tc>
          <w:tcPr>
            <w:tcW w:w="1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B974C2" w14:textId="77777777" w:rsidR="00DA59EA" w:rsidRPr="00DA59EA" w:rsidRDefault="00DA59EA" w:rsidP="00DA59E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14:paraId="79C0EFB8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Asumir el riesgo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B95D5A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Asumir el riesgo, reducir el riesgo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573F3B1B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Reducir el riesgo, evitar el riesgo, compartir o transferir.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FCB6CED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A1E8C14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</w:tr>
      <w:tr w:rsidR="00B3067F" w:rsidRPr="00DA59EA" w14:paraId="367A03D7" w14:textId="77777777" w:rsidTr="000547B2">
        <w:trPr>
          <w:trHeight w:val="360"/>
        </w:trPr>
        <w:tc>
          <w:tcPr>
            <w:tcW w:w="1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8AF148A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  <w:t>4 Probable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B3C7C6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4  Zona de riesgo Moderada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3F03E85F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8.Zona de riesgo Alta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13F65E81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12. A: Zona de riesgo Alta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D94341B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16. Zona de riesgo Extrema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99FE751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20.  Zona de riesgo Extrema</w:t>
            </w:r>
          </w:p>
        </w:tc>
      </w:tr>
      <w:tr w:rsidR="00B3067F" w:rsidRPr="00DA59EA" w14:paraId="551C713B" w14:textId="77777777" w:rsidTr="000547B2">
        <w:trPr>
          <w:trHeight w:val="555"/>
        </w:trPr>
        <w:tc>
          <w:tcPr>
            <w:tcW w:w="1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F21ACA" w14:textId="77777777" w:rsidR="00DA59EA" w:rsidRPr="00DA59EA" w:rsidRDefault="00DA59EA" w:rsidP="00DA59E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FA5607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Asumir el riesgo, reducir el riesgo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01C32F8E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Reducir el riesgo, evitar el riesgo, compartir o transferir.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3803F902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Reducir el riesgo, evitar el riesgo, compartir o transferir.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B7491D5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20B432B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</w:tr>
      <w:tr w:rsidR="00B3067F" w:rsidRPr="00DA59EA" w14:paraId="2931209C" w14:textId="77777777" w:rsidTr="000547B2">
        <w:trPr>
          <w:trHeight w:val="360"/>
        </w:trPr>
        <w:tc>
          <w:tcPr>
            <w:tcW w:w="1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F30CF82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4"/>
                <w:lang w:eastAsia="es-ES"/>
              </w:rPr>
              <w:t>5 Casi Seguro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4E95775B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5.Zona de riesgo Alta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5710C2B0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10.  Zona de riesgo Alta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909B19B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15.  Zona de riesgo Extrema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3EF4EB7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20.  Zona de riesgo Extrema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EABA04A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  <w:t>25. E: Zona de riesgo Extrema</w:t>
            </w:r>
          </w:p>
        </w:tc>
      </w:tr>
      <w:tr w:rsidR="00DA59EA" w:rsidRPr="00DA59EA" w14:paraId="059AD749" w14:textId="77777777" w:rsidTr="000547B2">
        <w:trPr>
          <w:trHeight w:val="555"/>
        </w:trPr>
        <w:tc>
          <w:tcPr>
            <w:tcW w:w="1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CBF76" w14:textId="77777777" w:rsidR="00DA59EA" w:rsidRPr="00DA59EA" w:rsidRDefault="00DA59EA" w:rsidP="00DA59E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5009F3F3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Reducir el riesgo, evitar el riesgo, compartir o transferir.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6600"/>
            <w:vAlign w:val="center"/>
            <w:hideMark/>
          </w:tcPr>
          <w:p w14:paraId="28E08234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Reducir el riesgo, evitar el riesgo, compartir o transferir.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7EFBEF6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537DB470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18801B0F" w14:textId="77777777" w:rsidR="00DA59EA" w:rsidRPr="00DA59EA" w:rsidRDefault="00DA59EA" w:rsidP="00DA5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</w:pPr>
            <w:r w:rsidRPr="00DA59E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ES"/>
              </w:rPr>
              <w:t>Evitar el riesgo, reducir el riesgo, compartir o transferir.</w:t>
            </w:r>
          </w:p>
        </w:tc>
      </w:tr>
    </w:tbl>
    <w:p w14:paraId="64CAF33A" w14:textId="687402F3" w:rsidR="004742FD" w:rsidRDefault="006062AD" w:rsidP="004742FD">
      <w:pPr>
        <w:autoSpaceDE w:val="0"/>
        <w:autoSpaceDN w:val="0"/>
        <w:adjustRightInd w:val="0"/>
        <w:spacing w:after="0" w:line="240" w:lineRule="auto"/>
      </w:pPr>
      <w:r>
        <w:lastRenderedPageBreak/>
        <w:t>Teniendo en cuenta el análisis de entorno del Centro de servicios, p</w:t>
      </w:r>
      <w:r w:rsidR="00C63FCE" w:rsidRPr="00013F3C">
        <w:t xml:space="preserve">ara el monitoreo preventivo del ejercicio de continuidad del negocio </w:t>
      </w:r>
      <w:r>
        <w:t>d</w:t>
      </w:r>
      <w:r w:rsidR="00C63FCE" w:rsidRPr="00013F3C">
        <w:t xml:space="preserve">el servicio </w:t>
      </w:r>
      <w:r w:rsidR="001B19D2">
        <w:t>e</w:t>
      </w:r>
      <w:r w:rsidR="00C63FCE" w:rsidRPr="00013F3C">
        <w:t>l</w:t>
      </w:r>
      <w:r w:rsidR="001B19D2">
        <w:t xml:space="preserve"> Centro de Servicios establece</w:t>
      </w:r>
      <w:r>
        <w:t>n</w:t>
      </w:r>
      <w:r w:rsidR="001B19D2">
        <w:t xml:space="preserve"> los riesgos</w:t>
      </w:r>
      <w:r w:rsidR="004742FD">
        <w:t xml:space="preserve"> en la siguiente tabla. </w:t>
      </w:r>
      <w:r w:rsidR="004742FD" w:rsidRPr="00013F3C">
        <w:t>Estos riesgos se integrarán a la</w:t>
      </w:r>
      <w:r w:rsidR="004742FD">
        <w:t xml:space="preserve"> administración de </w:t>
      </w:r>
      <w:r w:rsidR="004742FD" w:rsidRPr="00013F3C">
        <w:t>riesgo</w:t>
      </w:r>
      <w:r w:rsidR="004742FD">
        <w:t xml:space="preserve">s por procesos y se gestionaran teniendo en cuenta el procedimiento </w:t>
      </w:r>
      <w:r w:rsidR="004742FD" w:rsidRPr="006062AD">
        <w:rPr>
          <w:b/>
        </w:rPr>
        <w:t xml:space="preserve">1.3 Administración de Riesgos por Proceso </w:t>
      </w:r>
      <w:r w:rsidR="004742FD">
        <w:t>del Manual de Procesos y Procedimientos del Centro de Servicios</w:t>
      </w:r>
      <w:r w:rsidR="004742FD" w:rsidRPr="00013F3C">
        <w:t>.</w:t>
      </w:r>
    </w:p>
    <w:p w14:paraId="6CD38DA9" w14:textId="77777777" w:rsidR="00013F3C" w:rsidRDefault="00013F3C" w:rsidP="00013F3C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63"/>
        <w:gridCol w:w="2943"/>
        <w:gridCol w:w="3861"/>
      </w:tblGrid>
      <w:tr w:rsidR="00013F3C" w14:paraId="7C3EF7EE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5E373922" w14:textId="77777777" w:rsidR="00013F3C" w:rsidRPr="001B19D2" w:rsidRDefault="00013F3C" w:rsidP="001B19D2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Clasificación del</w:t>
            </w:r>
          </w:p>
          <w:p w14:paraId="046A712C" w14:textId="47BD2699" w:rsidR="00013F3C" w:rsidRPr="001B19D2" w:rsidRDefault="00013F3C" w:rsidP="001B19D2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Riesgo</w:t>
            </w:r>
          </w:p>
        </w:tc>
        <w:tc>
          <w:tcPr>
            <w:tcW w:w="2943" w:type="dxa"/>
            <w:shd w:val="clear" w:color="auto" w:fill="54849A" w:themeFill="accent5"/>
            <w:vAlign w:val="center"/>
          </w:tcPr>
          <w:p w14:paraId="02846068" w14:textId="18038FBF" w:rsidR="00013F3C" w:rsidRPr="001B19D2" w:rsidRDefault="00013F3C" w:rsidP="001B19D2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3861" w:type="dxa"/>
            <w:shd w:val="clear" w:color="auto" w:fill="54849A" w:themeFill="accent5"/>
            <w:vAlign w:val="center"/>
          </w:tcPr>
          <w:p w14:paraId="2B732AD5" w14:textId="349A8AB5" w:rsidR="00013F3C" w:rsidRPr="001B19D2" w:rsidRDefault="00013F3C" w:rsidP="001B19D2">
            <w:pPr>
              <w:autoSpaceDE w:val="0"/>
              <w:autoSpaceDN w:val="0"/>
              <w:adjustRightInd w:val="0"/>
              <w:jc w:val="center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Descripción del Riesgo</w:t>
            </w:r>
          </w:p>
        </w:tc>
      </w:tr>
      <w:tr w:rsidR="00013F3C" w14:paraId="494FB448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16BA7267" w14:textId="07BD6934" w:rsidR="00013F3C" w:rsidRPr="001B19D2" w:rsidRDefault="00013F3C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Comunicación</w:t>
            </w:r>
          </w:p>
        </w:tc>
        <w:tc>
          <w:tcPr>
            <w:tcW w:w="2943" w:type="dxa"/>
            <w:vAlign w:val="center"/>
          </w:tcPr>
          <w:p w14:paraId="09C3A686" w14:textId="0389B2BD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>
              <w:t xml:space="preserve">Uso inadecuado de los </w:t>
            </w:r>
            <w:r w:rsidRPr="00013F3C">
              <w:t>canales de comunicación.</w:t>
            </w:r>
          </w:p>
        </w:tc>
        <w:tc>
          <w:tcPr>
            <w:tcW w:w="3861" w:type="dxa"/>
            <w:vAlign w:val="center"/>
          </w:tcPr>
          <w:p w14:paraId="31D812A3" w14:textId="414BA168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>Comprende e</w:t>
            </w:r>
            <w:r>
              <w:t xml:space="preserve">l empleo o selección inadecuada </w:t>
            </w:r>
            <w:r w:rsidRPr="00013F3C">
              <w:t>del canal d</w:t>
            </w:r>
            <w:r>
              <w:t xml:space="preserve">e comunicación para difundir un </w:t>
            </w:r>
            <w:r w:rsidRPr="00013F3C">
              <w:t>mensaje o</w:t>
            </w:r>
            <w:r>
              <w:t xml:space="preserve"> reportar datos, estadísticas o </w:t>
            </w:r>
            <w:r w:rsidRPr="00013F3C">
              <w:t>información.</w:t>
            </w:r>
          </w:p>
        </w:tc>
      </w:tr>
      <w:tr w:rsidR="00013F3C" w14:paraId="1F178F6F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11C4096C" w14:textId="6A76FFC0" w:rsidR="00013F3C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Cumplimiento</w:t>
            </w:r>
          </w:p>
        </w:tc>
        <w:tc>
          <w:tcPr>
            <w:tcW w:w="2943" w:type="dxa"/>
            <w:vAlign w:val="center"/>
          </w:tcPr>
          <w:p w14:paraId="28AA30DA" w14:textId="363F3025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>
              <w:t>Incumplimiento legal.</w:t>
            </w:r>
          </w:p>
        </w:tc>
        <w:tc>
          <w:tcPr>
            <w:tcW w:w="3861" w:type="dxa"/>
            <w:vAlign w:val="center"/>
          </w:tcPr>
          <w:p w14:paraId="2420F303" w14:textId="11479428" w:rsidR="00013F3C" w:rsidRDefault="00BF6CCB" w:rsidP="00106D72">
            <w:pPr>
              <w:autoSpaceDE w:val="0"/>
              <w:autoSpaceDN w:val="0"/>
              <w:adjustRightInd w:val="0"/>
              <w:jc w:val="left"/>
            </w:pPr>
            <w:r w:rsidRPr="00013F3C">
              <w:t>Contempla el incumplimiento de la normativa</w:t>
            </w:r>
            <w:r>
              <w:t xml:space="preserve"> </w:t>
            </w:r>
            <w:r w:rsidRPr="00013F3C">
              <w:t xml:space="preserve">vigente, de las obligaciones contraídas por </w:t>
            </w:r>
            <w:r w:rsidR="00106D72">
              <w:t>e</w:t>
            </w:r>
            <w:r w:rsidRPr="00013F3C">
              <w:t>l</w:t>
            </w:r>
            <w:r w:rsidR="00106D72">
              <w:t xml:space="preserve"> Centro de Servicios</w:t>
            </w:r>
            <w:r w:rsidRPr="00013F3C">
              <w:t xml:space="preserve"> y/o de requisitos legales exigibles.</w:t>
            </w:r>
          </w:p>
        </w:tc>
      </w:tr>
      <w:tr w:rsidR="00013F3C" w14:paraId="36265BDD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34CA9EDF" w14:textId="77777777" w:rsidR="00BF6CCB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Imagen</w:t>
            </w:r>
          </w:p>
          <w:p w14:paraId="65E66AE4" w14:textId="77777777" w:rsidR="00013F3C" w:rsidRPr="001B19D2" w:rsidRDefault="00013F3C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</w:p>
        </w:tc>
        <w:tc>
          <w:tcPr>
            <w:tcW w:w="2943" w:type="dxa"/>
            <w:vAlign w:val="center"/>
          </w:tcPr>
          <w:p w14:paraId="539F974D" w14:textId="04F212FD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>Pérdida de credibilidad y</w:t>
            </w:r>
            <w:r>
              <w:t xml:space="preserve"> </w:t>
            </w:r>
            <w:r w:rsidRPr="00013F3C">
              <w:t>confianza en la entidad.</w:t>
            </w:r>
            <w:r>
              <w:t xml:space="preserve"> </w:t>
            </w:r>
          </w:p>
        </w:tc>
        <w:tc>
          <w:tcPr>
            <w:tcW w:w="3861" w:type="dxa"/>
            <w:vAlign w:val="center"/>
          </w:tcPr>
          <w:p w14:paraId="2C7C4316" w14:textId="0A77B516" w:rsidR="00013F3C" w:rsidRDefault="00BF6CCB" w:rsidP="00106D72">
            <w:pPr>
              <w:autoSpaceDE w:val="0"/>
              <w:autoSpaceDN w:val="0"/>
              <w:adjustRightInd w:val="0"/>
              <w:jc w:val="left"/>
            </w:pPr>
            <w:r w:rsidRPr="00013F3C">
              <w:t>Están relacionados con la percepción y la</w:t>
            </w:r>
            <w:r>
              <w:t xml:space="preserve"> </w:t>
            </w:r>
            <w:r w:rsidRPr="00013F3C">
              <w:t xml:space="preserve">confianza por parte de la ciudadanía hacia </w:t>
            </w:r>
            <w:r w:rsidR="00106D72">
              <w:t>e</w:t>
            </w:r>
            <w:r w:rsidRPr="00013F3C">
              <w:t>l</w:t>
            </w:r>
            <w:r w:rsidR="00106D72">
              <w:t xml:space="preserve"> Centro de servicios</w:t>
            </w:r>
            <w:r w:rsidRPr="00013F3C">
              <w:t>.</w:t>
            </w:r>
          </w:p>
        </w:tc>
      </w:tr>
      <w:tr w:rsidR="00013F3C" w14:paraId="6AAAA11A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789F01F3" w14:textId="59646AF0" w:rsidR="00013F3C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Información</w:t>
            </w:r>
          </w:p>
        </w:tc>
        <w:tc>
          <w:tcPr>
            <w:tcW w:w="2943" w:type="dxa"/>
            <w:vAlign w:val="center"/>
          </w:tcPr>
          <w:p w14:paraId="071AD139" w14:textId="76EEFCF2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803EEB">
              <w:t>Pérdida de información.</w:t>
            </w:r>
          </w:p>
        </w:tc>
        <w:tc>
          <w:tcPr>
            <w:tcW w:w="3861" w:type="dxa"/>
            <w:vAlign w:val="center"/>
          </w:tcPr>
          <w:p w14:paraId="2AD93A9F" w14:textId="688F5C21" w:rsidR="00013F3C" w:rsidRDefault="00BF6CCB" w:rsidP="00106D72">
            <w:pPr>
              <w:autoSpaceDE w:val="0"/>
              <w:autoSpaceDN w:val="0"/>
              <w:adjustRightInd w:val="0"/>
              <w:jc w:val="left"/>
            </w:pPr>
            <w:r w:rsidRPr="00013F3C">
              <w:t>Se asocia con la pérdida de información física</w:t>
            </w:r>
            <w:r>
              <w:t xml:space="preserve"> </w:t>
            </w:r>
            <w:r w:rsidRPr="00013F3C">
              <w:t>y/o digital de los archivos, bases de datos,</w:t>
            </w:r>
            <w:r>
              <w:t xml:space="preserve"> </w:t>
            </w:r>
            <w:r w:rsidRPr="00013F3C">
              <w:t>servidores</w:t>
            </w:r>
            <w:r w:rsidR="00106D72">
              <w:t xml:space="preserve"> y/o Sistemas de Información de</w:t>
            </w:r>
            <w:r w:rsidRPr="00013F3C">
              <w:t>l</w:t>
            </w:r>
            <w:r w:rsidR="00106D72">
              <w:t xml:space="preserve"> Centro de servicios</w:t>
            </w:r>
            <w:r w:rsidRPr="00013F3C">
              <w:t>.</w:t>
            </w:r>
          </w:p>
        </w:tc>
      </w:tr>
      <w:tr w:rsidR="00013F3C" w14:paraId="0F5B4A3F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45F6E2CB" w14:textId="77777777" w:rsidR="00BF6CCB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Información</w:t>
            </w:r>
          </w:p>
          <w:p w14:paraId="2EF35D41" w14:textId="77777777" w:rsidR="00013F3C" w:rsidRPr="001B19D2" w:rsidRDefault="00013F3C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</w:p>
        </w:tc>
        <w:tc>
          <w:tcPr>
            <w:tcW w:w="2943" w:type="dxa"/>
            <w:vAlign w:val="center"/>
          </w:tcPr>
          <w:p w14:paraId="494D554A" w14:textId="4268C699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>
              <w:t xml:space="preserve">Uso indebido de la </w:t>
            </w:r>
            <w:r w:rsidRPr="00013F3C">
              <w:t>información.</w:t>
            </w:r>
          </w:p>
        </w:tc>
        <w:tc>
          <w:tcPr>
            <w:tcW w:w="3861" w:type="dxa"/>
            <w:vAlign w:val="center"/>
          </w:tcPr>
          <w:p w14:paraId="36CDC715" w14:textId="50F7A47E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>Se asocia con el inadecuado empleo o</w:t>
            </w:r>
            <w:r>
              <w:t xml:space="preserve"> </w:t>
            </w:r>
            <w:r w:rsidRPr="00013F3C">
              <w:t>tratamiento de l</w:t>
            </w:r>
            <w:r>
              <w:t xml:space="preserve">a información que reposa en los </w:t>
            </w:r>
            <w:r w:rsidRPr="00013F3C">
              <w:t>archivos físicos, bases de datos, servidores o</w:t>
            </w:r>
            <w:r>
              <w:t xml:space="preserve"> </w:t>
            </w:r>
            <w:r w:rsidRPr="00013F3C">
              <w:t>sistemas de información.</w:t>
            </w:r>
          </w:p>
        </w:tc>
      </w:tr>
      <w:tr w:rsidR="00013F3C" w14:paraId="1BEFDC90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3C3C0FA7" w14:textId="67AFC130" w:rsidR="00013F3C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Operativo</w:t>
            </w:r>
          </w:p>
        </w:tc>
        <w:tc>
          <w:tcPr>
            <w:tcW w:w="2943" w:type="dxa"/>
            <w:vAlign w:val="center"/>
          </w:tcPr>
          <w:p w14:paraId="67315F6B" w14:textId="7EAB0196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>
              <w:t xml:space="preserve">Daño o deterioro de los </w:t>
            </w:r>
            <w:r w:rsidRPr="00013F3C">
              <w:t>activos tangibles.</w:t>
            </w:r>
          </w:p>
        </w:tc>
        <w:tc>
          <w:tcPr>
            <w:tcW w:w="3861" w:type="dxa"/>
            <w:vAlign w:val="center"/>
          </w:tcPr>
          <w:p w14:paraId="6C267F55" w14:textId="66203A02" w:rsidR="00013F3C" w:rsidRDefault="00BF6CCB" w:rsidP="00106D72">
            <w:pPr>
              <w:autoSpaceDE w:val="0"/>
              <w:autoSpaceDN w:val="0"/>
              <w:adjustRightInd w:val="0"/>
              <w:jc w:val="left"/>
            </w:pPr>
            <w:r w:rsidRPr="00013F3C">
              <w:t>Comprende el</w:t>
            </w:r>
            <w:r>
              <w:t xml:space="preserve"> daño o deterioro de los bienes </w:t>
            </w:r>
            <w:r w:rsidRPr="00013F3C">
              <w:t xml:space="preserve">muebles o inmuebles del </w:t>
            </w:r>
            <w:r w:rsidR="00106D72">
              <w:t>Centro de servicios.</w:t>
            </w:r>
          </w:p>
        </w:tc>
      </w:tr>
      <w:tr w:rsidR="00013F3C" w14:paraId="3FEB2880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5BED3D61" w14:textId="49F5966D" w:rsidR="00013F3C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Operativo</w:t>
            </w:r>
          </w:p>
        </w:tc>
        <w:tc>
          <w:tcPr>
            <w:tcW w:w="2943" w:type="dxa"/>
            <w:vAlign w:val="center"/>
          </w:tcPr>
          <w:p w14:paraId="37588D80" w14:textId="37466604" w:rsid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803EEB">
              <w:t>Inexistencia de los bienes y servicios necesarios para el normal funcionamiento de la entidad.</w:t>
            </w:r>
          </w:p>
        </w:tc>
        <w:tc>
          <w:tcPr>
            <w:tcW w:w="3861" w:type="dxa"/>
            <w:vAlign w:val="center"/>
          </w:tcPr>
          <w:p w14:paraId="5B394A7B" w14:textId="48EC708C" w:rsidR="00013F3C" w:rsidRDefault="00BF6CCB" w:rsidP="00106D72">
            <w:pPr>
              <w:autoSpaceDE w:val="0"/>
              <w:autoSpaceDN w:val="0"/>
              <w:adjustRightInd w:val="0"/>
              <w:jc w:val="left"/>
            </w:pPr>
            <w:r w:rsidRPr="00013F3C">
              <w:t>Comprende la c</w:t>
            </w:r>
            <w:r>
              <w:t xml:space="preserve">arencia de bienes y/o servicios </w:t>
            </w:r>
            <w:r w:rsidRPr="00013F3C">
              <w:t>requerid</w:t>
            </w:r>
            <w:r>
              <w:t xml:space="preserve">os en </w:t>
            </w:r>
            <w:r w:rsidR="00106D72">
              <w:t>e</w:t>
            </w:r>
            <w:r w:rsidR="00106D72" w:rsidRPr="00013F3C">
              <w:t>l</w:t>
            </w:r>
            <w:r w:rsidR="00106D72">
              <w:t xml:space="preserve"> Centro de servicios </w:t>
            </w:r>
            <w:r>
              <w:t xml:space="preserve">para </w:t>
            </w:r>
            <w:r w:rsidR="00106D72">
              <w:t>su</w:t>
            </w:r>
            <w:r>
              <w:t xml:space="preserve"> normal </w:t>
            </w:r>
            <w:r w:rsidR="00106D72">
              <w:t>f</w:t>
            </w:r>
            <w:r w:rsidRPr="00013F3C">
              <w:t>uncionamiento.</w:t>
            </w:r>
          </w:p>
        </w:tc>
      </w:tr>
      <w:tr w:rsidR="00BF6CCB" w14:paraId="42680921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728FF41D" w14:textId="23F65FB0" w:rsidR="00BF6CCB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Operativo</w:t>
            </w:r>
          </w:p>
        </w:tc>
        <w:tc>
          <w:tcPr>
            <w:tcW w:w="2943" w:type="dxa"/>
            <w:vAlign w:val="center"/>
          </w:tcPr>
          <w:p w14:paraId="1794E4C3" w14:textId="33D88843" w:rsidR="00BF6CCB" w:rsidRDefault="00BF6CCB" w:rsidP="008B0FFE">
            <w:pPr>
              <w:autoSpaceDE w:val="0"/>
              <w:autoSpaceDN w:val="0"/>
              <w:adjustRightInd w:val="0"/>
              <w:jc w:val="left"/>
            </w:pPr>
            <w:r w:rsidRPr="00013F3C">
              <w:t>Afectación de los servicios por</w:t>
            </w:r>
            <w:r w:rsidR="008B0FFE">
              <w:t xml:space="preserve"> </w:t>
            </w:r>
            <w:r w:rsidRPr="00013F3C">
              <w:t>error humano</w:t>
            </w:r>
            <w:r w:rsidR="008B0FFE">
              <w:t>.</w:t>
            </w:r>
          </w:p>
        </w:tc>
        <w:tc>
          <w:tcPr>
            <w:tcW w:w="3861" w:type="dxa"/>
            <w:vAlign w:val="center"/>
          </w:tcPr>
          <w:p w14:paraId="4618D9CB" w14:textId="486A1D1E" w:rsidR="00BF6CCB" w:rsidRP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 xml:space="preserve">Ausencia </w:t>
            </w:r>
            <w:r>
              <w:t xml:space="preserve">del personal, rotación, errores </w:t>
            </w:r>
            <w:r w:rsidRPr="00013F3C">
              <w:t>invol</w:t>
            </w:r>
            <w:r>
              <w:t>untarios, mala ejecución de los procedimientos internos.</w:t>
            </w:r>
          </w:p>
        </w:tc>
      </w:tr>
      <w:tr w:rsidR="00BF6CCB" w14:paraId="56DE135F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34CF5F10" w14:textId="2B51CD61" w:rsidR="00BF6CCB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Tecnológico</w:t>
            </w:r>
          </w:p>
        </w:tc>
        <w:tc>
          <w:tcPr>
            <w:tcW w:w="2943" w:type="dxa"/>
            <w:vAlign w:val="center"/>
          </w:tcPr>
          <w:p w14:paraId="127EC940" w14:textId="5691D20E" w:rsidR="00BF6CCB" w:rsidRPr="00013F3C" w:rsidRDefault="00BF6CCB" w:rsidP="001B19D2">
            <w:pPr>
              <w:autoSpaceDE w:val="0"/>
              <w:autoSpaceDN w:val="0"/>
              <w:adjustRightInd w:val="0"/>
              <w:jc w:val="left"/>
            </w:pPr>
            <w:r>
              <w:t>Accesos no autorizados.</w:t>
            </w:r>
          </w:p>
        </w:tc>
        <w:tc>
          <w:tcPr>
            <w:tcW w:w="3861" w:type="dxa"/>
            <w:vAlign w:val="center"/>
          </w:tcPr>
          <w:p w14:paraId="24FB46F6" w14:textId="63CD1D1C" w:rsidR="00BF6CCB" w:rsidRP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>Se asocia con el acceso a los sistemas de</w:t>
            </w:r>
            <w:r>
              <w:t xml:space="preserve"> </w:t>
            </w:r>
            <w:r w:rsidRPr="00013F3C">
              <w:t>información, aplicativos, bases de datos o</w:t>
            </w:r>
            <w:r>
              <w:t xml:space="preserve"> </w:t>
            </w:r>
            <w:r w:rsidRPr="00013F3C">
              <w:t>servidores sin autorización previa.</w:t>
            </w:r>
          </w:p>
        </w:tc>
      </w:tr>
      <w:tr w:rsidR="00BF6CCB" w14:paraId="6C6A42A0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5F60582E" w14:textId="3B456D3B" w:rsidR="00BF6CCB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lastRenderedPageBreak/>
              <w:t>Tecnológico</w:t>
            </w:r>
          </w:p>
        </w:tc>
        <w:tc>
          <w:tcPr>
            <w:tcW w:w="2943" w:type="dxa"/>
            <w:vAlign w:val="center"/>
          </w:tcPr>
          <w:p w14:paraId="0E23D4AD" w14:textId="6845F819" w:rsidR="00BF6CCB" w:rsidRDefault="00BF6CCB" w:rsidP="001B19D2">
            <w:pPr>
              <w:autoSpaceDE w:val="0"/>
              <w:autoSpaceDN w:val="0"/>
              <w:adjustRightInd w:val="0"/>
              <w:jc w:val="left"/>
            </w:pPr>
            <w:r>
              <w:t xml:space="preserve">Afectación de la </w:t>
            </w:r>
            <w:r w:rsidRPr="00013F3C">
              <w:t>infraestructura tecnológica.</w:t>
            </w:r>
          </w:p>
        </w:tc>
        <w:tc>
          <w:tcPr>
            <w:tcW w:w="3861" w:type="dxa"/>
            <w:vAlign w:val="center"/>
          </w:tcPr>
          <w:p w14:paraId="0FA29CE9" w14:textId="454EF90C" w:rsidR="00BF6CCB" w:rsidRP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>Está relacionado con el daño, pérdida o dete</w:t>
            </w:r>
            <w:r>
              <w:t xml:space="preserve">rioro </w:t>
            </w:r>
            <w:r w:rsidRPr="00013F3C">
              <w:t>a nive</w:t>
            </w:r>
            <w:r>
              <w:t>l de hardware y comunicaciones.</w:t>
            </w:r>
          </w:p>
        </w:tc>
      </w:tr>
      <w:tr w:rsidR="00BF6CCB" w14:paraId="50B4CC73" w14:textId="77777777" w:rsidTr="001B19D2">
        <w:tc>
          <w:tcPr>
            <w:tcW w:w="2263" w:type="dxa"/>
            <w:shd w:val="clear" w:color="auto" w:fill="54849A" w:themeFill="accent5"/>
            <w:vAlign w:val="center"/>
          </w:tcPr>
          <w:p w14:paraId="6805FDE3" w14:textId="692F1BB7" w:rsidR="00BF6CCB" w:rsidRPr="001B19D2" w:rsidRDefault="00BF6CCB" w:rsidP="001B19D2">
            <w:pPr>
              <w:autoSpaceDE w:val="0"/>
              <w:autoSpaceDN w:val="0"/>
              <w:adjustRightInd w:val="0"/>
              <w:jc w:val="left"/>
              <w:rPr>
                <w:b/>
                <w:color w:val="FFFFFF" w:themeColor="background1"/>
              </w:rPr>
            </w:pPr>
            <w:r w:rsidRPr="001B19D2">
              <w:rPr>
                <w:b/>
                <w:color w:val="FFFFFF" w:themeColor="background1"/>
              </w:rPr>
              <w:t>Tecnológico</w:t>
            </w:r>
          </w:p>
        </w:tc>
        <w:tc>
          <w:tcPr>
            <w:tcW w:w="2943" w:type="dxa"/>
            <w:vAlign w:val="center"/>
          </w:tcPr>
          <w:p w14:paraId="48E9D577" w14:textId="503F038D" w:rsidR="00BF6CCB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>Inadecuados servicios de</w:t>
            </w:r>
            <w:r>
              <w:t xml:space="preserve"> Tecnologías de la Información.</w:t>
            </w:r>
          </w:p>
        </w:tc>
        <w:tc>
          <w:tcPr>
            <w:tcW w:w="3861" w:type="dxa"/>
            <w:vAlign w:val="center"/>
          </w:tcPr>
          <w:p w14:paraId="4DAF1491" w14:textId="6B1AE340" w:rsidR="00BF6CCB" w:rsidRPr="00013F3C" w:rsidRDefault="00BF6CCB" w:rsidP="001B19D2">
            <w:pPr>
              <w:autoSpaceDE w:val="0"/>
              <w:autoSpaceDN w:val="0"/>
              <w:adjustRightInd w:val="0"/>
              <w:jc w:val="left"/>
            </w:pPr>
            <w:r w:rsidRPr="00013F3C">
              <w:t>Contempla la pertinencia, calidad y oportunidad</w:t>
            </w:r>
            <w:r>
              <w:t xml:space="preserve"> </w:t>
            </w:r>
            <w:r w:rsidRPr="00013F3C">
              <w:t>de los servicios de tecnología y las deficiencias</w:t>
            </w:r>
            <w:r>
              <w:t xml:space="preserve"> </w:t>
            </w:r>
            <w:r w:rsidRPr="00013F3C">
              <w:t>en la prestación de los mismos.</w:t>
            </w:r>
          </w:p>
        </w:tc>
      </w:tr>
    </w:tbl>
    <w:p w14:paraId="0AEE815C" w14:textId="77777777" w:rsidR="00013F3C" w:rsidRPr="00013F3C" w:rsidRDefault="00013F3C" w:rsidP="00013F3C">
      <w:pPr>
        <w:autoSpaceDE w:val="0"/>
        <w:autoSpaceDN w:val="0"/>
        <w:adjustRightInd w:val="0"/>
        <w:spacing w:after="0" w:line="240" w:lineRule="auto"/>
      </w:pPr>
    </w:p>
    <w:p w14:paraId="3F8BE742" w14:textId="0EED0F1A" w:rsidR="00F033F5" w:rsidRDefault="00F033F5" w:rsidP="00F033F5">
      <w:pPr>
        <w:pStyle w:val="Ttulo1"/>
        <w:numPr>
          <w:ilvl w:val="0"/>
          <w:numId w:val="1"/>
        </w:numPr>
      </w:pPr>
      <w:bookmarkStart w:id="13" w:name="_Toc22832165"/>
      <w:r>
        <w:t>Pruebas y revisión periódica del plan</w:t>
      </w:r>
      <w:bookmarkEnd w:id="13"/>
    </w:p>
    <w:p w14:paraId="431A9E3F" w14:textId="655A9E0A" w:rsidR="00B818CE" w:rsidRDefault="00B818CE" w:rsidP="00C56318">
      <w:r>
        <w:t>La Coordinación del Centro se Servicios será el encargado de</w:t>
      </w:r>
      <w:r w:rsidR="00CD3B47">
        <w:t xml:space="preserve"> </w:t>
      </w:r>
      <w:r>
        <w:t>aprobar y monitorear el plan de continuidad,</w:t>
      </w:r>
      <w:r w:rsidRPr="00B818CE">
        <w:t xml:space="preserve"> </w:t>
      </w:r>
      <w:r>
        <w:t>las acciones preventivas se llevarán a cabo en el Centro de Servicios según la planificación</w:t>
      </w:r>
      <w:r w:rsidR="005D2134">
        <w:t xml:space="preserve"> </w:t>
      </w:r>
      <w:r>
        <w:t>de las del as actividades de cada Proceso, las cuales estarán coordinadas por los líderes de proceso según sea el caso y el Ingeniero(a) de Sistemas del Centro de Servicios.</w:t>
      </w:r>
    </w:p>
    <w:p w14:paraId="1E2334B3" w14:textId="1E1BD44B" w:rsidR="00B818CE" w:rsidRDefault="00AC6DF4" w:rsidP="00B818CE">
      <w:r w:rsidRPr="009E4063">
        <w:t xml:space="preserve">Dichas actividades se establecerán anualmente </w:t>
      </w:r>
      <w:r w:rsidR="005D2134">
        <w:t xml:space="preserve">establecidas en la </w:t>
      </w:r>
      <w:commentRangeStart w:id="14"/>
      <w:r w:rsidR="005D2134">
        <w:t>Matriz Plan de Continuidad</w:t>
      </w:r>
      <w:r w:rsidR="005D2134" w:rsidRPr="009E4063">
        <w:t xml:space="preserve"> </w:t>
      </w:r>
      <w:commentRangeEnd w:id="14"/>
      <w:r w:rsidR="009B5E44">
        <w:rPr>
          <w:rStyle w:val="Refdecomentario"/>
        </w:rPr>
        <w:commentReference w:id="14"/>
      </w:r>
      <w:r w:rsidRPr="009E4063">
        <w:t xml:space="preserve">y serán incluidas en el Plan estratégico del Centro de Servicios para cada año. </w:t>
      </w:r>
      <w:r w:rsidR="00B50892" w:rsidRPr="00DA6055">
        <w:t>D</w:t>
      </w:r>
      <w:r w:rsidR="00B818CE" w:rsidRPr="00DA6055">
        <w:t xml:space="preserve">urante la definición </w:t>
      </w:r>
      <w:r w:rsidR="005D2134">
        <w:t>de dichas actividades</w:t>
      </w:r>
      <w:r w:rsidR="00B818CE" w:rsidRPr="00DA6055">
        <w:t xml:space="preserve"> se definirán y aprobarán los simulacros, </w:t>
      </w:r>
      <w:r w:rsidR="000F7EEE" w:rsidRPr="00DA6055">
        <w:t xml:space="preserve">interrupción del servicio </w:t>
      </w:r>
      <w:r w:rsidR="00B818CE" w:rsidRPr="00DA6055">
        <w:t>o pruebas aleatorias del plan de continuidad</w:t>
      </w:r>
      <w:r w:rsidR="00B50892" w:rsidRPr="00DA6055">
        <w:t xml:space="preserve">. </w:t>
      </w:r>
      <w:r w:rsidR="00DA6055" w:rsidRPr="00DA6055">
        <w:t>D</w:t>
      </w:r>
      <w:r w:rsidR="00B818CE" w:rsidRPr="00DA6055">
        <w:t xml:space="preserve">e igual  manera los resultados y el seguimiento </w:t>
      </w:r>
      <w:r w:rsidR="00B50892" w:rsidRPr="00DA6055">
        <w:t xml:space="preserve">al plan de continuidad </w:t>
      </w:r>
      <w:r w:rsidR="00B818CE" w:rsidRPr="00DA6055">
        <w:t xml:space="preserve">se </w:t>
      </w:r>
      <w:r w:rsidR="00B50892" w:rsidRPr="00DA6055">
        <w:t>realizarán</w:t>
      </w:r>
      <w:r w:rsidR="00B818CE" w:rsidRPr="00DA6055">
        <w:t xml:space="preserve"> </w:t>
      </w:r>
      <w:r w:rsidR="007D24D9" w:rsidRPr="00DA6055">
        <w:t>dos veces</w:t>
      </w:r>
      <w:r w:rsidR="00B818CE" w:rsidRPr="00DA6055">
        <w:t xml:space="preserve"> al año</w:t>
      </w:r>
      <w:r w:rsidR="007D24D9" w:rsidRPr="00DA6055">
        <w:t xml:space="preserve"> (semestralmente)</w:t>
      </w:r>
      <w:r w:rsidR="00B818CE" w:rsidRPr="00DA6055">
        <w:t xml:space="preserve"> </w:t>
      </w:r>
      <w:r w:rsidR="00B50892" w:rsidRPr="00DA6055">
        <w:t>y se socializará con los servidores Judiciales del Centro de Servicios</w:t>
      </w:r>
      <w:r w:rsidR="00B50892">
        <w:t xml:space="preserve">. </w:t>
      </w:r>
    </w:p>
    <w:p w14:paraId="3D770391" w14:textId="36381DB6" w:rsidR="00F033F5" w:rsidRPr="007E7109" w:rsidRDefault="001D6434" w:rsidP="007E7109">
      <w:pPr>
        <w:pStyle w:val="Ttulo1"/>
        <w:numPr>
          <w:ilvl w:val="0"/>
          <w:numId w:val="1"/>
        </w:numPr>
      </w:pPr>
      <w:bookmarkStart w:id="15" w:name="_Toc22832166"/>
      <w:r w:rsidRPr="007E7109">
        <w:t xml:space="preserve">Procedimiento Para La </w:t>
      </w:r>
      <w:r w:rsidR="007E7109" w:rsidRPr="007E7109">
        <w:t>Gestión</w:t>
      </w:r>
      <w:r w:rsidRPr="007E7109">
        <w:t xml:space="preserve"> Del Plan</w:t>
      </w:r>
      <w:bookmarkEnd w:id="15"/>
      <w:r w:rsidRPr="007E7109">
        <w:t xml:space="preserve"> De Continuidad</w:t>
      </w:r>
    </w:p>
    <w:p w14:paraId="7587A194" w14:textId="3D19869F" w:rsidR="00F033F5" w:rsidRDefault="00F033F5" w:rsidP="00C56318">
      <w:r>
        <w:t xml:space="preserve">Una vez construido y aprobado el plan de continuidad </w:t>
      </w:r>
      <w:r w:rsidR="00D35E4E">
        <w:t>el Centro de Servicios</w:t>
      </w:r>
      <w:r>
        <w:t xml:space="preserve"> deberá emprender las acciones necesarias para comunicarlo a todos los servidores </w:t>
      </w:r>
      <w:r w:rsidR="00D35E4E">
        <w:t>judiciales</w:t>
      </w:r>
      <w:r>
        <w:t xml:space="preserve"> y de esta manera estar preparados para enfrentar </w:t>
      </w:r>
      <w:r w:rsidR="008B0FFE">
        <w:t>contingencias</w:t>
      </w:r>
      <w:r>
        <w:t xml:space="preserve"> y restablecer en el menor tiempo posible el servicio a l</w:t>
      </w:r>
      <w:r w:rsidR="00880FA6">
        <w:t>a</w:t>
      </w:r>
      <w:r>
        <w:t xml:space="preserve">s </w:t>
      </w:r>
      <w:r w:rsidR="00880FA6">
        <w:t>partes interesadas</w:t>
      </w:r>
      <w:r>
        <w:t>, para lo cual se seguirá el siguiente pro</w:t>
      </w:r>
      <w:r w:rsidR="000547B2">
        <w:t>cedimiento</w:t>
      </w:r>
      <w:r>
        <w:t>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567"/>
        <w:gridCol w:w="2977"/>
        <w:gridCol w:w="2268"/>
        <w:gridCol w:w="3260"/>
      </w:tblGrid>
      <w:tr w:rsidR="0053308E" w:rsidRPr="009E194A" w14:paraId="29E3B38C" w14:textId="77777777" w:rsidTr="00A43845">
        <w:trPr>
          <w:trHeight w:val="458"/>
        </w:trPr>
        <w:tc>
          <w:tcPr>
            <w:tcW w:w="9072" w:type="dxa"/>
            <w:gridSpan w:val="4"/>
            <w:shd w:val="clear" w:color="auto" w:fill="B0B0B0" w:themeFill="background2" w:themeFillShade="BF"/>
            <w:vAlign w:val="center"/>
            <w:hideMark/>
          </w:tcPr>
          <w:p w14:paraId="4419B93A" w14:textId="2D3CEDB6" w:rsidR="0053308E" w:rsidRPr="009E194A" w:rsidRDefault="0053308E" w:rsidP="00713A01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PROCESO 1</w:t>
            </w: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:</w:t>
            </w:r>
            <w:r w:rsidRPr="009E194A">
              <w:rPr>
                <w:rFonts w:eastAsia="Times New Roman" w:cs="Times New Roman"/>
                <w:color w:val="000000"/>
                <w:lang w:eastAsia="es-ES"/>
              </w:rPr>
              <w:t xml:space="preserve"> </w:t>
            </w:r>
            <w:commentRangeStart w:id="16"/>
            <w:r w:rsidR="000D7459">
              <w:rPr>
                <w:rFonts w:eastAsia="Times New Roman" w:cs="Times New Roman"/>
                <w:color w:val="000000"/>
                <w:lang w:eastAsia="es-ES"/>
              </w:rPr>
              <w:t>Direccionamiento Estratégico</w:t>
            </w:r>
            <w:commentRangeEnd w:id="16"/>
            <w:r w:rsidR="00CD60C1">
              <w:rPr>
                <w:rStyle w:val="Refdecomentario"/>
              </w:rPr>
              <w:commentReference w:id="16"/>
            </w:r>
          </w:p>
        </w:tc>
      </w:tr>
      <w:tr w:rsidR="0053308E" w:rsidRPr="009E194A" w14:paraId="06C9FFDC" w14:textId="77777777" w:rsidTr="00A43845">
        <w:trPr>
          <w:trHeight w:val="550"/>
        </w:trPr>
        <w:tc>
          <w:tcPr>
            <w:tcW w:w="9072" w:type="dxa"/>
            <w:gridSpan w:val="4"/>
            <w:shd w:val="clear" w:color="auto" w:fill="B0B0B0" w:themeFill="background2" w:themeFillShade="BF"/>
            <w:vAlign w:val="center"/>
            <w:hideMark/>
          </w:tcPr>
          <w:p w14:paraId="1F6BD4A8" w14:textId="12FFAC02" w:rsidR="0053308E" w:rsidRPr="009E194A" w:rsidRDefault="0053308E" w:rsidP="00713A01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PROCEDIMIENTO 1.</w:t>
            </w:r>
            <w:r w:rsidR="000D7459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5</w:t>
            </w:r>
            <w:r w:rsidRPr="009E194A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 xml:space="preserve">: </w:t>
            </w:r>
            <w:r w:rsidRPr="009E194A">
              <w:rPr>
                <w:rFonts w:eastAsia="Times New Roman" w:cs="Times New Roman"/>
                <w:color w:val="000000"/>
                <w:lang w:eastAsia="es-ES"/>
              </w:rPr>
              <w:t xml:space="preserve">Gestión </w:t>
            </w:r>
            <w:r w:rsidR="000D7459">
              <w:rPr>
                <w:rFonts w:eastAsia="Times New Roman" w:cs="Times New Roman"/>
                <w:color w:val="000000"/>
                <w:lang w:eastAsia="es-ES"/>
              </w:rPr>
              <w:t>Plan de Continuidad</w:t>
            </w:r>
          </w:p>
        </w:tc>
      </w:tr>
      <w:tr w:rsidR="0053308E" w:rsidRPr="009E194A" w14:paraId="796FEB08" w14:textId="77777777" w:rsidTr="00A43845">
        <w:trPr>
          <w:trHeight w:val="558"/>
        </w:trPr>
        <w:tc>
          <w:tcPr>
            <w:tcW w:w="9072" w:type="dxa"/>
            <w:gridSpan w:val="4"/>
            <w:shd w:val="clear" w:color="auto" w:fill="B0B0B0" w:themeFill="background2" w:themeFillShade="BF"/>
            <w:vAlign w:val="center"/>
            <w:hideMark/>
          </w:tcPr>
          <w:p w14:paraId="0E6951B3" w14:textId="77777777" w:rsidR="0053308E" w:rsidRPr="009E194A" w:rsidRDefault="0053308E" w:rsidP="00713A01">
            <w:pPr>
              <w:jc w:val="left"/>
              <w:rPr>
                <w:rFonts w:eastAsia="Times New Roman" w:cs="Times New Roman"/>
                <w:b/>
                <w:bCs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 xml:space="preserve">RESPONSABLES: </w:t>
            </w:r>
            <w:r>
              <w:rPr>
                <w:rFonts w:eastAsia="Times New Roman" w:cs="Times New Roman"/>
                <w:color w:val="000000"/>
                <w:lang w:eastAsia="es-ES"/>
              </w:rPr>
              <w:t>Líder del Proceso, Coordinador(a)</w:t>
            </w:r>
          </w:p>
        </w:tc>
      </w:tr>
      <w:tr w:rsidR="0053308E" w:rsidRPr="009E194A" w14:paraId="199A5B36" w14:textId="77777777" w:rsidTr="00A43845">
        <w:trPr>
          <w:trHeight w:val="566"/>
        </w:trPr>
        <w:tc>
          <w:tcPr>
            <w:tcW w:w="3544" w:type="dxa"/>
            <w:gridSpan w:val="2"/>
            <w:shd w:val="clear" w:color="auto" w:fill="B0B0B0" w:themeFill="background2" w:themeFillShade="BF"/>
            <w:noWrap/>
            <w:vAlign w:val="center"/>
            <w:hideMark/>
          </w:tcPr>
          <w:p w14:paraId="55989C26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ACTIVIDADES</w:t>
            </w:r>
          </w:p>
        </w:tc>
        <w:tc>
          <w:tcPr>
            <w:tcW w:w="2268" w:type="dxa"/>
            <w:shd w:val="clear" w:color="auto" w:fill="B0B0B0" w:themeFill="background2" w:themeFillShade="BF"/>
            <w:noWrap/>
            <w:vAlign w:val="center"/>
            <w:hideMark/>
          </w:tcPr>
          <w:p w14:paraId="5AAB3C96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RESPONSABLE</w:t>
            </w:r>
          </w:p>
        </w:tc>
        <w:tc>
          <w:tcPr>
            <w:tcW w:w="3260" w:type="dxa"/>
            <w:shd w:val="clear" w:color="auto" w:fill="B0B0B0" w:themeFill="background2" w:themeFillShade="BF"/>
            <w:noWrap/>
            <w:vAlign w:val="center"/>
            <w:hideMark/>
          </w:tcPr>
          <w:p w14:paraId="76403E13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DOCUMENTOS/APLICATIVO</w:t>
            </w:r>
          </w:p>
        </w:tc>
      </w:tr>
      <w:tr w:rsidR="0053308E" w:rsidRPr="009E194A" w14:paraId="4055F51B" w14:textId="77777777" w:rsidTr="00713A01">
        <w:trPr>
          <w:trHeight w:val="900"/>
        </w:trPr>
        <w:tc>
          <w:tcPr>
            <w:tcW w:w="567" w:type="dxa"/>
            <w:noWrap/>
            <w:vAlign w:val="center"/>
            <w:hideMark/>
          </w:tcPr>
          <w:p w14:paraId="51A9E748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2977" w:type="dxa"/>
            <w:noWrap/>
            <w:vAlign w:val="center"/>
            <w:hideMark/>
          </w:tcPr>
          <w:p w14:paraId="7E1A85A0" w14:textId="2775FFAD" w:rsidR="0053308E" w:rsidRPr="009E194A" w:rsidRDefault="0053308E" w:rsidP="00713A01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 xml:space="preserve">Identificar la situación o </w:t>
            </w:r>
            <w:r w:rsidR="00857C79">
              <w:rPr>
                <w:rFonts w:eastAsia="Times New Roman" w:cs="Times New Roman"/>
                <w:color w:val="000000"/>
                <w:lang w:eastAsia="es-ES"/>
              </w:rPr>
              <w:t>contingencia</w:t>
            </w:r>
            <w:r w:rsidRPr="009E194A">
              <w:rPr>
                <w:rFonts w:eastAsia="Times New Roman" w:cs="Times New Roman"/>
                <w:color w:val="000000"/>
                <w:lang w:eastAsia="es-ES"/>
              </w:rPr>
              <w:t xml:space="preserve"> </w:t>
            </w:r>
            <w:r w:rsidR="00713A01" w:rsidRPr="009E194A">
              <w:rPr>
                <w:rFonts w:eastAsia="Times New Roman" w:cs="Times New Roman"/>
                <w:color w:val="000000"/>
                <w:lang w:eastAsia="es-ES"/>
              </w:rPr>
              <w:t>[1]</w:t>
            </w:r>
            <w:r w:rsidR="00713A01">
              <w:rPr>
                <w:rFonts w:eastAsia="Times New Roman" w:cs="Times New Roman"/>
                <w:color w:val="000000"/>
                <w:lang w:eastAsia="es-ES"/>
              </w:rPr>
              <w:t xml:space="preserve"> </w:t>
            </w:r>
            <w:r w:rsidRPr="009E194A">
              <w:rPr>
                <w:rFonts w:eastAsia="Times New Roman" w:cs="Times New Roman"/>
                <w:color w:val="000000"/>
                <w:lang w:eastAsia="es-ES"/>
              </w:rPr>
              <w:t xml:space="preserve">que pueda afectar </w:t>
            </w:r>
            <w:r w:rsidR="00857C79">
              <w:rPr>
                <w:rFonts w:eastAsia="Times New Roman" w:cs="Times New Roman"/>
                <w:color w:val="000000"/>
                <w:lang w:eastAsia="es-ES"/>
              </w:rPr>
              <w:t>l</w:t>
            </w:r>
            <w:r w:rsidRPr="009E194A">
              <w:rPr>
                <w:rFonts w:eastAsia="Times New Roman" w:cs="Times New Roman"/>
                <w:color w:val="000000"/>
                <w:lang w:eastAsia="es-ES"/>
              </w:rPr>
              <w:t>a</w:t>
            </w:r>
            <w:r w:rsidR="00857C79">
              <w:rPr>
                <w:rFonts w:eastAsia="Times New Roman" w:cs="Times New Roman"/>
                <w:color w:val="000000"/>
                <w:lang w:eastAsia="es-ES"/>
              </w:rPr>
              <w:t xml:space="preserve"> prestación del servicio.</w:t>
            </w:r>
          </w:p>
        </w:tc>
        <w:tc>
          <w:tcPr>
            <w:tcW w:w="2268" w:type="dxa"/>
            <w:vAlign w:val="center"/>
            <w:hideMark/>
          </w:tcPr>
          <w:p w14:paraId="5A854E79" w14:textId="15782554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Líder del proceso, Coordinador (a)</w:t>
            </w:r>
          </w:p>
        </w:tc>
        <w:tc>
          <w:tcPr>
            <w:tcW w:w="3260" w:type="dxa"/>
            <w:vAlign w:val="center"/>
            <w:hideMark/>
          </w:tcPr>
          <w:p w14:paraId="472061D5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NA</w:t>
            </w:r>
          </w:p>
        </w:tc>
      </w:tr>
      <w:tr w:rsidR="0053308E" w:rsidRPr="009E194A" w14:paraId="52C56638" w14:textId="77777777" w:rsidTr="00713A01">
        <w:trPr>
          <w:trHeight w:val="505"/>
        </w:trPr>
        <w:tc>
          <w:tcPr>
            <w:tcW w:w="567" w:type="dxa"/>
            <w:noWrap/>
            <w:vAlign w:val="center"/>
            <w:hideMark/>
          </w:tcPr>
          <w:p w14:paraId="3CA8E6A6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lastRenderedPageBreak/>
              <w:t>2</w:t>
            </w:r>
          </w:p>
        </w:tc>
        <w:tc>
          <w:tcPr>
            <w:tcW w:w="2977" w:type="dxa"/>
            <w:noWrap/>
            <w:vAlign w:val="center"/>
            <w:hideMark/>
          </w:tcPr>
          <w:p w14:paraId="36A53FFA" w14:textId="78558839" w:rsidR="0053308E" w:rsidRPr="009E194A" w:rsidRDefault="00D34F22" w:rsidP="00713A01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>
              <w:t>Declaración manifiesta de la contingencia.</w:t>
            </w:r>
          </w:p>
        </w:tc>
        <w:tc>
          <w:tcPr>
            <w:tcW w:w="2268" w:type="dxa"/>
            <w:vAlign w:val="center"/>
            <w:hideMark/>
          </w:tcPr>
          <w:p w14:paraId="7C943335" w14:textId="3D3CC28F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</w:tc>
        <w:tc>
          <w:tcPr>
            <w:tcW w:w="3260" w:type="dxa"/>
            <w:vAlign w:val="center"/>
            <w:hideMark/>
          </w:tcPr>
          <w:p w14:paraId="5C7D6CD7" w14:textId="1B35DA48" w:rsidR="0053308E" w:rsidRPr="009E194A" w:rsidRDefault="00325504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Acta de reunión</w:t>
            </w:r>
          </w:p>
        </w:tc>
      </w:tr>
      <w:tr w:rsidR="0053308E" w:rsidRPr="009E194A" w14:paraId="5F74CD7E" w14:textId="77777777" w:rsidTr="00713A01">
        <w:trPr>
          <w:trHeight w:val="541"/>
        </w:trPr>
        <w:tc>
          <w:tcPr>
            <w:tcW w:w="567" w:type="dxa"/>
            <w:noWrap/>
            <w:vAlign w:val="center"/>
            <w:hideMark/>
          </w:tcPr>
          <w:p w14:paraId="79EF64AE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2977" w:type="dxa"/>
            <w:noWrap/>
            <w:vAlign w:val="center"/>
            <w:hideMark/>
          </w:tcPr>
          <w:p w14:paraId="6FF66E74" w14:textId="6346478C" w:rsidR="0053308E" w:rsidRPr="00D34F22" w:rsidRDefault="00D34F22" w:rsidP="00713A01">
            <w:pPr>
              <w:jc w:val="left"/>
            </w:pPr>
            <w:r>
              <w:t>Convocar al(os) líder(es) de la áreas afectadas.</w:t>
            </w:r>
          </w:p>
        </w:tc>
        <w:tc>
          <w:tcPr>
            <w:tcW w:w="2268" w:type="dxa"/>
            <w:vAlign w:val="center"/>
            <w:hideMark/>
          </w:tcPr>
          <w:p w14:paraId="5BF85319" w14:textId="5F00C6E2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</w:tc>
        <w:tc>
          <w:tcPr>
            <w:tcW w:w="3260" w:type="dxa"/>
            <w:vAlign w:val="center"/>
            <w:hideMark/>
          </w:tcPr>
          <w:p w14:paraId="6098C2C4" w14:textId="33CC1328" w:rsidR="0053308E" w:rsidRPr="009E194A" w:rsidRDefault="00325504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Acta de reunión</w:t>
            </w:r>
          </w:p>
        </w:tc>
      </w:tr>
      <w:tr w:rsidR="0053308E" w:rsidRPr="009E194A" w14:paraId="415E0C2A" w14:textId="77777777" w:rsidTr="00713A01">
        <w:trPr>
          <w:trHeight w:val="804"/>
        </w:trPr>
        <w:tc>
          <w:tcPr>
            <w:tcW w:w="567" w:type="dxa"/>
            <w:noWrap/>
            <w:vAlign w:val="center"/>
            <w:hideMark/>
          </w:tcPr>
          <w:p w14:paraId="1EFC3105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2977" w:type="dxa"/>
            <w:vAlign w:val="center"/>
            <w:hideMark/>
          </w:tcPr>
          <w:p w14:paraId="4BF142EA" w14:textId="454C4D69" w:rsidR="0053308E" w:rsidRPr="009E194A" w:rsidRDefault="00D34F22" w:rsidP="004831F7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>
              <w:t>Informar al</w:t>
            </w:r>
            <w:r w:rsidR="00713A01">
              <w:t xml:space="preserve"> ente responsable</w:t>
            </w:r>
            <w:r w:rsidR="004831F7">
              <w:t xml:space="preserve"> </w:t>
            </w:r>
            <w:r w:rsidR="004831F7" w:rsidRPr="009E194A">
              <w:rPr>
                <w:rFonts w:eastAsia="Times New Roman" w:cs="Times New Roman"/>
                <w:color w:val="000000"/>
                <w:lang w:eastAsia="es-ES"/>
              </w:rPr>
              <w:t>[</w:t>
            </w:r>
            <w:r w:rsidR="004831F7">
              <w:rPr>
                <w:rFonts w:eastAsia="Times New Roman" w:cs="Times New Roman"/>
                <w:color w:val="000000"/>
                <w:lang w:eastAsia="es-ES"/>
              </w:rPr>
              <w:t>2</w:t>
            </w:r>
            <w:r w:rsidR="004831F7" w:rsidRPr="009E194A">
              <w:rPr>
                <w:rFonts w:eastAsia="Times New Roman" w:cs="Times New Roman"/>
                <w:color w:val="000000"/>
                <w:lang w:eastAsia="es-ES"/>
              </w:rPr>
              <w:t>]</w:t>
            </w:r>
            <w:r w:rsidR="004831F7">
              <w:rPr>
                <w:rFonts w:eastAsia="Times New Roman" w:cs="Times New Roman"/>
                <w:color w:val="000000"/>
                <w:lang w:eastAsia="es-ES"/>
              </w:rPr>
              <w:t xml:space="preserve"> </w:t>
            </w:r>
            <w:r w:rsidR="00713A01">
              <w:t xml:space="preserve"> de dar pronta atención a la contingencia.</w:t>
            </w:r>
          </w:p>
        </w:tc>
        <w:tc>
          <w:tcPr>
            <w:tcW w:w="2268" w:type="dxa"/>
            <w:vAlign w:val="center"/>
            <w:hideMark/>
          </w:tcPr>
          <w:p w14:paraId="01A0EA65" w14:textId="6301B231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</w:tc>
        <w:tc>
          <w:tcPr>
            <w:tcW w:w="3260" w:type="dxa"/>
            <w:vAlign w:val="center"/>
            <w:hideMark/>
          </w:tcPr>
          <w:p w14:paraId="154CE0F0" w14:textId="2B2A53F1" w:rsidR="0053308E" w:rsidRPr="009E194A" w:rsidRDefault="00325504" w:rsidP="00325504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 xml:space="preserve">Oficio, Correo electrónico,   Llamado verbal </w:t>
            </w:r>
          </w:p>
        </w:tc>
      </w:tr>
      <w:tr w:rsidR="0053308E" w:rsidRPr="009E194A" w14:paraId="3A97C16D" w14:textId="77777777" w:rsidTr="00713A01">
        <w:trPr>
          <w:trHeight w:val="575"/>
        </w:trPr>
        <w:tc>
          <w:tcPr>
            <w:tcW w:w="567" w:type="dxa"/>
            <w:noWrap/>
            <w:vAlign w:val="center"/>
            <w:hideMark/>
          </w:tcPr>
          <w:p w14:paraId="50057658" w14:textId="77777777" w:rsidR="0053308E" w:rsidRPr="009E194A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2977" w:type="dxa"/>
            <w:noWrap/>
            <w:vAlign w:val="center"/>
            <w:hideMark/>
          </w:tcPr>
          <w:p w14:paraId="7C99F045" w14:textId="437CEEA5" w:rsidR="0053308E" w:rsidRPr="009E194A" w:rsidRDefault="000547B2" w:rsidP="00713A01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>
              <w:t>Analizar daños.</w:t>
            </w:r>
          </w:p>
        </w:tc>
        <w:tc>
          <w:tcPr>
            <w:tcW w:w="2268" w:type="dxa"/>
            <w:vAlign w:val="center"/>
            <w:hideMark/>
          </w:tcPr>
          <w:p w14:paraId="0D986C64" w14:textId="5A3DDCC1" w:rsidR="00F80A99" w:rsidRDefault="00F80A9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Ingeniero(a) de Sistemas</w:t>
            </w:r>
          </w:p>
          <w:p w14:paraId="124AC1C4" w14:textId="77777777" w:rsidR="0053308E" w:rsidRDefault="0053308E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  <w:p w14:paraId="38A39342" w14:textId="74E880FF" w:rsidR="00F80A99" w:rsidRPr="009E194A" w:rsidRDefault="00F80A9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Líder del proceso</w:t>
            </w:r>
          </w:p>
        </w:tc>
        <w:tc>
          <w:tcPr>
            <w:tcW w:w="3260" w:type="dxa"/>
            <w:vAlign w:val="center"/>
            <w:hideMark/>
          </w:tcPr>
          <w:p w14:paraId="76551F1E" w14:textId="44704666" w:rsidR="0053308E" w:rsidRPr="009E194A" w:rsidRDefault="0005415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NA</w:t>
            </w:r>
          </w:p>
        </w:tc>
      </w:tr>
      <w:tr w:rsidR="00713A01" w:rsidRPr="009E194A" w14:paraId="36B683C1" w14:textId="77777777" w:rsidTr="00713A01">
        <w:trPr>
          <w:trHeight w:val="575"/>
        </w:trPr>
        <w:tc>
          <w:tcPr>
            <w:tcW w:w="567" w:type="dxa"/>
            <w:noWrap/>
            <w:vAlign w:val="center"/>
          </w:tcPr>
          <w:p w14:paraId="2F578741" w14:textId="05CD2AFD" w:rsidR="00713A01" w:rsidRPr="009E194A" w:rsidRDefault="00713A01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2977" w:type="dxa"/>
            <w:noWrap/>
            <w:vAlign w:val="center"/>
          </w:tcPr>
          <w:p w14:paraId="4BEC8F32" w14:textId="1B428B51" w:rsidR="00713A01" w:rsidRDefault="00713A01" w:rsidP="00713A01">
            <w:pPr>
              <w:jc w:val="left"/>
            </w:pPr>
            <w:r>
              <w:t>Establecer tiempo de atención e informar a las partes interesadas involucradas</w:t>
            </w:r>
            <w:r w:rsidR="004831F7">
              <w:t>.</w:t>
            </w:r>
          </w:p>
        </w:tc>
        <w:tc>
          <w:tcPr>
            <w:tcW w:w="2268" w:type="dxa"/>
            <w:vAlign w:val="center"/>
          </w:tcPr>
          <w:p w14:paraId="01920F71" w14:textId="77777777" w:rsidR="00F80A99" w:rsidRDefault="00F80A99" w:rsidP="00F80A99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Ingeniero(a) de Sistemas</w:t>
            </w:r>
          </w:p>
          <w:p w14:paraId="5B670D22" w14:textId="77777777" w:rsidR="00F80A99" w:rsidRDefault="00F80A99" w:rsidP="00F80A99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  <w:p w14:paraId="4D3E4F0C" w14:textId="1B6FBC34" w:rsidR="00713A01" w:rsidRPr="009E194A" w:rsidRDefault="00F80A99" w:rsidP="00F80A99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Líder del proceso</w:t>
            </w:r>
          </w:p>
        </w:tc>
        <w:tc>
          <w:tcPr>
            <w:tcW w:w="3260" w:type="dxa"/>
            <w:vAlign w:val="center"/>
          </w:tcPr>
          <w:p w14:paraId="6A6B700D" w14:textId="2249935E" w:rsidR="00713A01" w:rsidRPr="009E194A" w:rsidRDefault="0005415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NA</w:t>
            </w:r>
          </w:p>
        </w:tc>
      </w:tr>
      <w:tr w:rsidR="00713A01" w:rsidRPr="009E194A" w14:paraId="086450FA" w14:textId="77777777" w:rsidTr="00713A01">
        <w:trPr>
          <w:trHeight w:val="575"/>
        </w:trPr>
        <w:tc>
          <w:tcPr>
            <w:tcW w:w="567" w:type="dxa"/>
            <w:noWrap/>
            <w:vAlign w:val="center"/>
          </w:tcPr>
          <w:p w14:paraId="1E7A727E" w14:textId="2AF6CE01" w:rsidR="00713A01" w:rsidRPr="009E194A" w:rsidRDefault="00713A01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7</w:t>
            </w:r>
          </w:p>
        </w:tc>
        <w:tc>
          <w:tcPr>
            <w:tcW w:w="2977" w:type="dxa"/>
            <w:noWrap/>
            <w:vAlign w:val="center"/>
          </w:tcPr>
          <w:p w14:paraId="5A87029F" w14:textId="2893D695" w:rsidR="00713A01" w:rsidRDefault="00713A01" w:rsidP="00713A01">
            <w:pPr>
              <w:jc w:val="left"/>
            </w:pPr>
            <w:r>
              <w:t>Establecer respuestas alternas para</w:t>
            </w:r>
            <w:r w:rsidR="00F80A99">
              <w:t xml:space="preserve"> no alterar</w:t>
            </w:r>
            <w:r>
              <w:t xml:space="preserve"> la prestación del servicio (en caso de ser necesario)</w:t>
            </w:r>
            <w:r w:rsidR="004831F7">
              <w:t>.</w:t>
            </w:r>
          </w:p>
        </w:tc>
        <w:tc>
          <w:tcPr>
            <w:tcW w:w="2268" w:type="dxa"/>
            <w:vAlign w:val="center"/>
          </w:tcPr>
          <w:p w14:paraId="087C661B" w14:textId="1954BDCA" w:rsidR="00713A01" w:rsidRPr="009E194A" w:rsidRDefault="004831F7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</w:tc>
        <w:tc>
          <w:tcPr>
            <w:tcW w:w="3260" w:type="dxa"/>
            <w:vAlign w:val="center"/>
          </w:tcPr>
          <w:p w14:paraId="2765D335" w14:textId="6BF06894" w:rsidR="00713A01" w:rsidRPr="009E194A" w:rsidRDefault="00F80A99" w:rsidP="009E2E00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Módulos de Acciones de Gestión</w:t>
            </w:r>
          </w:p>
        </w:tc>
      </w:tr>
      <w:tr w:rsidR="0053308E" w:rsidRPr="009E194A" w14:paraId="7447E795" w14:textId="77777777" w:rsidTr="00713A01">
        <w:trPr>
          <w:trHeight w:val="555"/>
        </w:trPr>
        <w:tc>
          <w:tcPr>
            <w:tcW w:w="567" w:type="dxa"/>
            <w:noWrap/>
            <w:vAlign w:val="center"/>
            <w:hideMark/>
          </w:tcPr>
          <w:p w14:paraId="6AE4526E" w14:textId="7EA311F8" w:rsidR="0053308E" w:rsidRPr="009E194A" w:rsidRDefault="00713A01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8</w:t>
            </w:r>
          </w:p>
        </w:tc>
        <w:tc>
          <w:tcPr>
            <w:tcW w:w="2977" w:type="dxa"/>
            <w:noWrap/>
            <w:vAlign w:val="center"/>
            <w:hideMark/>
          </w:tcPr>
          <w:p w14:paraId="543B2C03" w14:textId="2ADBFA32" w:rsidR="0053308E" w:rsidRPr="009E194A" w:rsidRDefault="000547B2" w:rsidP="00713A01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>
              <w:t>Restablecimiento de los sistemas de información.</w:t>
            </w:r>
          </w:p>
        </w:tc>
        <w:tc>
          <w:tcPr>
            <w:tcW w:w="2268" w:type="dxa"/>
            <w:vAlign w:val="center"/>
            <w:hideMark/>
          </w:tcPr>
          <w:p w14:paraId="1FBA849B" w14:textId="77777777" w:rsidR="00F80A99" w:rsidRDefault="00F80A99" w:rsidP="00F80A99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Ingeniero(a) de Sistemas</w:t>
            </w:r>
          </w:p>
          <w:p w14:paraId="517DE395" w14:textId="77777777" w:rsidR="00F80A99" w:rsidRDefault="00F80A99" w:rsidP="00F80A99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  <w:p w14:paraId="7D145836" w14:textId="6590AA96" w:rsidR="0053308E" w:rsidRPr="009E194A" w:rsidRDefault="00F80A99" w:rsidP="00F80A99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Líder del proceso</w:t>
            </w:r>
          </w:p>
        </w:tc>
        <w:tc>
          <w:tcPr>
            <w:tcW w:w="3260" w:type="dxa"/>
            <w:vAlign w:val="center"/>
            <w:hideMark/>
          </w:tcPr>
          <w:p w14:paraId="108909C1" w14:textId="0787B12B" w:rsidR="0053308E" w:rsidRPr="009E194A" w:rsidRDefault="00F80A9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Módulos de Acciones de Gestión</w:t>
            </w:r>
          </w:p>
        </w:tc>
      </w:tr>
      <w:tr w:rsidR="0053308E" w:rsidRPr="009E194A" w14:paraId="5C044D33" w14:textId="77777777" w:rsidTr="00713A01">
        <w:trPr>
          <w:trHeight w:val="563"/>
        </w:trPr>
        <w:tc>
          <w:tcPr>
            <w:tcW w:w="567" w:type="dxa"/>
            <w:noWrap/>
            <w:vAlign w:val="center"/>
            <w:hideMark/>
          </w:tcPr>
          <w:p w14:paraId="058C415C" w14:textId="6BDE55EA" w:rsidR="0053308E" w:rsidRPr="009E194A" w:rsidRDefault="00713A01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2977" w:type="dxa"/>
            <w:noWrap/>
            <w:vAlign w:val="center"/>
            <w:hideMark/>
          </w:tcPr>
          <w:p w14:paraId="70B40E35" w14:textId="541A2A3A" w:rsidR="0053308E" w:rsidRPr="009E194A" w:rsidRDefault="000547B2" w:rsidP="00713A01">
            <w:pPr>
              <w:jc w:val="left"/>
              <w:rPr>
                <w:rFonts w:eastAsia="Times New Roman" w:cs="Times New Roman"/>
                <w:color w:val="000000"/>
                <w:lang w:eastAsia="es-ES"/>
              </w:rPr>
            </w:pPr>
            <w:r>
              <w:t>Análisis de la situación.</w:t>
            </w:r>
          </w:p>
        </w:tc>
        <w:tc>
          <w:tcPr>
            <w:tcW w:w="2268" w:type="dxa"/>
            <w:vAlign w:val="center"/>
            <w:hideMark/>
          </w:tcPr>
          <w:p w14:paraId="4691F267" w14:textId="0C69AA7E" w:rsidR="0053308E" w:rsidRPr="009E194A" w:rsidRDefault="00F80A99" w:rsidP="00F80A99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</w:tc>
        <w:tc>
          <w:tcPr>
            <w:tcW w:w="3260" w:type="dxa"/>
            <w:vAlign w:val="center"/>
            <w:hideMark/>
          </w:tcPr>
          <w:p w14:paraId="680D29AA" w14:textId="13943C9F" w:rsidR="0053308E" w:rsidRPr="009E194A" w:rsidRDefault="00F80A9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Acta de reunión</w:t>
            </w:r>
          </w:p>
        </w:tc>
      </w:tr>
      <w:tr w:rsidR="000547B2" w:rsidRPr="009E194A" w14:paraId="6C1F0AC6" w14:textId="77777777" w:rsidTr="00713A01">
        <w:trPr>
          <w:trHeight w:val="854"/>
        </w:trPr>
        <w:tc>
          <w:tcPr>
            <w:tcW w:w="567" w:type="dxa"/>
            <w:noWrap/>
            <w:vAlign w:val="center"/>
          </w:tcPr>
          <w:p w14:paraId="5F489932" w14:textId="5B10253A" w:rsidR="000547B2" w:rsidRPr="009E194A" w:rsidRDefault="00713A01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2977" w:type="dxa"/>
            <w:noWrap/>
            <w:vAlign w:val="center"/>
          </w:tcPr>
          <w:p w14:paraId="7F2A06ED" w14:textId="4AB095E3" w:rsidR="000547B2" w:rsidRDefault="004831F7" w:rsidP="004831F7">
            <w:pPr>
              <w:jc w:val="left"/>
            </w:pPr>
            <w:r>
              <w:t>Establecer plan de m</w:t>
            </w:r>
            <w:r w:rsidR="000547B2">
              <w:t>ejoramiento a partir del análisis.</w:t>
            </w:r>
          </w:p>
        </w:tc>
        <w:tc>
          <w:tcPr>
            <w:tcW w:w="2268" w:type="dxa"/>
            <w:vAlign w:val="center"/>
          </w:tcPr>
          <w:p w14:paraId="0A58A44B" w14:textId="6D723F29" w:rsidR="000547B2" w:rsidRPr="009E194A" w:rsidRDefault="00F80A9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Coordinador (a)</w:t>
            </w:r>
          </w:p>
        </w:tc>
        <w:tc>
          <w:tcPr>
            <w:tcW w:w="3260" w:type="dxa"/>
            <w:vAlign w:val="center"/>
          </w:tcPr>
          <w:p w14:paraId="05A37DD5" w14:textId="38E64B72" w:rsidR="000547B2" w:rsidRPr="009E194A" w:rsidRDefault="00F80A99" w:rsidP="00713A01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9E194A">
              <w:rPr>
                <w:rFonts w:eastAsia="Times New Roman" w:cs="Times New Roman"/>
                <w:color w:val="000000"/>
                <w:lang w:eastAsia="es-ES"/>
              </w:rPr>
              <w:t>Acta de reunión</w:t>
            </w:r>
          </w:p>
        </w:tc>
      </w:tr>
    </w:tbl>
    <w:p w14:paraId="3EDC92EE" w14:textId="77777777" w:rsidR="00AA7907" w:rsidRDefault="00AA7907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78E53AE9" w14:textId="749E7C81" w:rsidR="00DA6055" w:rsidRPr="00AA7907" w:rsidRDefault="00857C79" w:rsidP="00DA6055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  <w:r w:rsidRPr="00AA7907">
        <w:rPr>
          <w:rFonts w:eastAsia="Times New Roman" w:cs="Times New Roman"/>
          <w:color w:val="000000"/>
          <w:sz w:val="18"/>
          <w:lang w:eastAsia="es-ES"/>
        </w:rPr>
        <w:t>[1]</w:t>
      </w:r>
      <w:r w:rsidR="00922A0A" w:rsidRPr="00AA7907">
        <w:rPr>
          <w:rFonts w:eastAsia="Times New Roman" w:cs="Times New Roman"/>
          <w:color w:val="000000"/>
          <w:sz w:val="18"/>
          <w:lang w:eastAsia="es-ES"/>
        </w:rPr>
        <w:t xml:space="preserve">Tener en cuenta el análisis del entorno. </w:t>
      </w:r>
      <w:r w:rsidR="00DA6055" w:rsidRPr="00DA6055">
        <w:rPr>
          <w:rFonts w:eastAsia="Times New Roman" w:cs="Times New Roman"/>
          <w:color w:val="000000"/>
          <w:sz w:val="18"/>
          <w:lang w:eastAsia="es-ES"/>
        </w:rPr>
        <w:t xml:space="preserve">Situaciones Externas </w:t>
      </w:r>
      <w:hyperlink w:anchor="_Análisis_del_entorno" w:history="1">
        <w:r w:rsidR="00DA6055" w:rsidRPr="00DA6055">
          <w:rPr>
            <w:rStyle w:val="Hipervnculo"/>
            <w:rFonts w:eastAsia="Times New Roman" w:cs="Times New Roman"/>
            <w:sz w:val="18"/>
            <w:lang w:eastAsia="es-ES"/>
          </w:rPr>
          <w:t>(Ver nota)</w:t>
        </w:r>
      </w:hyperlink>
      <w:r w:rsidR="00DA6055" w:rsidRPr="00DA6055">
        <w:rPr>
          <w:rFonts w:eastAsia="Times New Roman" w:cs="Times New Roman"/>
          <w:color w:val="000000"/>
          <w:sz w:val="18"/>
          <w:lang w:eastAsia="es-ES"/>
        </w:rPr>
        <w:t xml:space="preserve"> y Situaciones Internas</w:t>
      </w:r>
      <w:r w:rsidR="00DA6055">
        <w:rPr>
          <w:rFonts w:eastAsia="Times New Roman" w:cs="Times New Roman"/>
          <w:color w:val="000000"/>
          <w:sz w:val="18"/>
          <w:lang w:eastAsia="es-ES"/>
        </w:rPr>
        <w:t>.</w:t>
      </w:r>
    </w:p>
    <w:p w14:paraId="45A2217C" w14:textId="222F8881" w:rsidR="004742FD" w:rsidRDefault="00DA6055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  <w:r w:rsidRPr="00AA7907">
        <w:rPr>
          <w:rFonts w:eastAsia="Times New Roman" w:cs="Times New Roman"/>
          <w:color w:val="000000"/>
          <w:sz w:val="18"/>
          <w:lang w:eastAsia="es-ES"/>
        </w:rPr>
        <w:t>[</w:t>
      </w:r>
      <w:r>
        <w:rPr>
          <w:rFonts w:eastAsia="Times New Roman" w:cs="Times New Roman"/>
          <w:color w:val="000000"/>
          <w:sz w:val="18"/>
          <w:lang w:eastAsia="es-ES"/>
        </w:rPr>
        <w:t>2</w:t>
      </w:r>
      <w:r w:rsidRPr="00AA7907">
        <w:rPr>
          <w:rFonts w:eastAsia="Times New Roman" w:cs="Times New Roman"/>
          <w:color w:val="000000"/>
          <w:sz w:val="18"/>
          <w:lang w:eastAsia="es-ES"/>
        </w:rPr>
        <w:t>]</w:t>
      </w:r>
      <w:r w:rsidR="00A43845">
        <w:rPr>
          <w:rFonts w:eastAsia="Times New Roman" w:cs="Times New Roman"/>
          <w:color w:val="000000"/>
          <w:sz w:val="18"/>
          <w:lang w:eastAsia="es-ES"/>
        </w:rPr>
        <w:t>Ver partes interesadas Involucradas d</w:t>
      </w:r>
      <w:r w:rsidR="00A43845" w:rsidRPr="00AA7907">
        <w:rPr>
          <w:rFonts w:eastAsia="Times New Roman" w:cs="Times New Roman"/>
          <w:color w:val="000000"/>
          <w:sz w:val="18"/>
          <w:lang w:eastAsia="es-ES"/>
        </w:rPr>
        <w:t>el análisis del entorno</w:t>
      </w:r>
      <w:r w:rsidR="00A43845">
        <w:rPr>
          <w:rFonts w:eastAsia="Times New Roman" w:cs="Times New Roman"/>
          <w:color w:val="000000"/>
          <w:sz w:val="18"/>
          <w:lang w:eastAsia="es-ES"/>
        </w:rPr>
        <w:t>.</w:t>
      </w:r>
    </w:p>
    <w:p w14:paraId="722A447A" w14:textId="77777777" w:rsidR="00AE1F0D" w:rsidRDefault="00AE1F0D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5A91F7E0" w14:textId="77777777" w:rsidR="00AE1F0D" w:rsidRDefault="00AE1F0D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2520529D" w14:textId="77777777" w:rsidR="00763991" w:rsidRDefault="00763991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640E2793" w14:textId="77777777" w:rsidR="00763991" w:rsidRDefault="00763991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0E112ABE" w14:textId="77777777" w:rsidR="00763991" w:rsidRDefault="00763991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43A1638F" w14:textId="77777777" w:rsidR="00763991" w:rsidRDefault="00763991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2CDF3A72" w14:textId="77777777" w:rsidR="00AE1F0D" w:rsidRDefault="00AE1F0D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0AD1FABD" w14:textId="77777777" w:rsidR="00AE1F0D" w:rsidRDefault="00AE1F0D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2175490E" w14:textId="77777777" w:rsidR="00763991" w:rsidRDefault="00763991" w:rsidP="00AA7907">
      <w:pPr>
        <w:spacing w:after="0"/>
        <w:rPr>
          <w:rFonts w:eastAsia="Times New Roman" w:cs="Times New Roman"/>
          <w:color w:val="000000"/>
          <w:sz w:val="18"/>
          <w:lang w:eastAsia="es-ES"/>
        </w:rPr>
      </w:pPr>
    </w:p>
    <w:p w14:paraId="348CD78A" w14:textId="7A11AA27" w:rsidR="00AE1F0D" w:rsidRPr="00AE1F0D" w:rsidRDefault="00AE1F0D" w:rsidP="00AE1F0D">
      <w:pPr>
        <w:spacing w:after="0"/>
        <w:jc w:val="right"/>
        <w:rPr>
          <w:rFonts w:eastAsia="Times New Roman" w:cs="Times New Roman"/>
          <w:color w:val="000000"/>
          <w:lang w:eastAsia="es-ES"/>
        </w:rPr>
      </w:pPr>
      <w:r w:rsidRPr="00AE1F0D">
        <w:rPr>
          <w:rFonts w:eastAsia="Times New Roman" w:cs="Times New Roman"/>
          <w:color w:val="000000"/>
          <w:lang w:eastAsia="es-ES"/>
        </w:rPr>
        <w:t>Centro de Servicios para los Juzgados Civiles y de Familia</w:t>
      </w:r>
    </w:p>
    <w:p w14:paraId="5B201D52" w14:textId="12B9926E" w:rsidR="00AE1F0D" w:rsidRPr="00AE1F0D" w:rsidRDefault="00AE1F0D" w:rsidP="00AE1F0D">
      <w:pPr>
        <w:spacing w:after="0"/>
        <w:jc w:val="right"/>
      </w:pPr>
      <w:r w:rsidRPr="00AE1F0D">
        <w:rPr>
          <w:rFonts w:eastAsia="Times New Roman" w:cs="Times New Roman"/>
          <w:color w:val="000000"/>
          <w:lang w:eastAsia="es-ES"/>
        </w:rPr>
        <w:t>Noviembre de 2019</w:t>
      </w:r>
    </w:p>
    <w:sectPr w:rsidR="00AE1F0D" w:rsidRPr="00AE1F0D" w:rsidSect="000C2290">
      <w:pgSz w:w="12240" w:h="15840" w:code="1"/>
      <w:pgMar w:top="1418" w:right="1701" w:bottom="1418" w:left="1701" w:header="567" w:footer="567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SCF - Escribiente de Circuito" w:date="2019-10-24T17:51:00Z" w:initials="C-EdC">
    <w:p w14:paraId="1FE2EB32" w14:textId="75140D67" w:rsidR="00D938B1" w:rsidRDefault="00D938B1">
      <w:pPr>
        <w:pStyle w:val="Textocomentario"/>
      </w:pPr>
      <w:r>
        <w:rPr>
          <w:rStyle w:val="Refdecomentario"/>
        </w:rPr>
        <w:annotationRef/>
      </w:r>
      <w:r>
        <w:t>Una vez sea aprobado el presente documento se debe diligenciar la fecha de aprobación en el pie de página y se debe actualizar el listado maestro de documentos del CSJCF.</w:t>
      </w:r>
    </w:p>
  </w:comment>
  <w:comment w:id="6" w:author="CSCF - Escribiente de Circuito" w:date="2019-09-25T14:49:00Z" w:initials="C-EdC">
    <w:p w14:paraId="4FE1E355" w14:textId="67CFCCA9" w:rsidR="004E54AA" w:rsidRDefault="004E54AA">
      <w:pPr>
        <w:pStyle w:val="Textocomentario"/>
      </w:pPr>
      <w:r>
        <w:rPr>
          <w:rStyle w:val="Refdecomentario"/>
        </w:rPr>
        <w:annotationRef/>
      </w:r>
      <w:r>
        <w:t>Incluir las actividades a realizar en el plan estratégico. Evidencia actas de reunión de la mesa de trabajo y conformación de la misma.</w:t>
      </w:r>
    </w:p>
  </w:comment>
  <w:comment w:id="9" w:author="CSCF - Escribiente de Circuito" w:date="2019-09-25T15:32:00Z" w:initials="C-EdC">
    <w:p w14:paraId="5AA7B4F2" w14:textId="6ED59A07" w:rsidR="009B5E44" w:rsidRDefault="004E54AA" w:rsidP="005219D6">
      <w:pPr>
        <w:pStyle w:val="Textocomentario"/>
      </w:pPr>
      <w:r>
        <w:rPr>
          <w:rStyle w:val="Refdecomentario"/>
        </w:rPr>
        <w:annotationRef/>
      </w:r>
      <w:r w:rsidR="0070173A">
        <w:t>C</w:t>
      </w:r>
      <w:r>
        <w:t xml:space="preserve">reación de un </w:t>
      </w:r>
      <w:r w:rsidR="0070173A">
        <w:t>nuevo documento el cual debe ser registrado en</w:t>
      </w:r>
      <w:r>
        <w:t xml:space="preserve"> </w:t>
      </w:r>
      <w:r w:rsidR="0070173A">
        <w:t>el listado maestro de documentos del CSJCF una vez sea aprobado el plan de continuidad.</w:t>
      </w:r>
    </w:p>
  </w:comment>
  <w:comment w:id="14" w:author="CSCF - Escribiente de Circuito [2]" w:date="2019-10-25T11:47:00Z" w:initials="C-EdC">
    <w:p w14:paraId="00E644D3" w14:textId="29D58FFE" w:rsidR="009B5E44" w:rsidRDefault="009B5E44">
      <w:pPr>
        <w:pStyle w:val="Textocomentario"/>
      </w:pPr>
      <w:r>
        <w:rPr>
          <w:rStyle w:val="Refdecomentario"/>
        </w:rPr>
        <w:annotationRef/>
      </w:r>
      <w:r>
        <w:t>Establecer actividades de carácter preventivo, actividades de carácter reactivo y actividades de recuperación y estipular fechas de cumplimiento para cada actividad.</w:t>
      </w:r>
    </w:p>
  </w:comment>
  <w:comment w:id="16" w:author="CSCF - Escribiente de Circuito" w:date="2019-10-24T17:49:00Z" w:initials="C-EdC">
    <w:p w14:paraId="0BD62B10" w14:textId="0F8A898C" w:rsidR="00CD60C1" w:rsidRDefault="00CD60C1">
      <w:pPr>
        <w:pStyle w:val="Textocomentario"/>
      </w:pPr>
      <w:r>
        <w:rPr>
          <w:rStyle w:val="Refdecomentario"/>
        </w:rPr>
        <w:annotationRef/>
      </w:r>
      <w:r>
        <w:t xml:space="preserve">Agregar el procedimiento al manual de procesos y procedimientos. Proceso: </w:t>
      </w:r>
      <w:r>
        <w:rPr>
          <w:rFonts w:eastAsia="Times New Roman" w:cs="Times New Roman"/>
          <w:color w:val="000000"/>
          <w:lang w:eastAsia="es-ES"/>
        </w:rPr>
        <w:t>Direccionamiento Estratégico</w:t>
      </w:r>
      <w:r>
        <w:rPr>
          <w:rStyle w:val="Refdecomentario"/>
        </w:rPr>
        <w:annotationRef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E2EB32" w15:done="0"/>
  <w15:commentEx w15:paraId="4FE1E355" w15:done="0"/>
  <w15:commentEx w15:paraId="5AA7B4F2" w15:done="0"/>
  <w15:commentEx w15:paraId="00E644D3" w15:done="0"/>
  <w15:commentEx w15:paraId="0BD62B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99CB8" w14:textId="77777777" w:rsidR="004E54AA" w:rsidRDefault="004E54AA" w:rsidP="00E027BC">
      <w:pPr>
        <w:spacing w:after="0" w:line="240" w:lineRule="auto"/>
      </w:pPr>
      <w:r>
        <w:separator/>
      </w:r>
    </w:p>
  </w:endnote>
  <w:endnote w:type="continuationSeparator" w:id="0">
    <w:p w14:paraId="416BBF0D" w14:textId="77777777" w:rsidR="004E54AA" w:rsidRDefault="004E54AA" w:rsidP="00E0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86481" w14:textId="77777777" w:rsidR="00465A42" w:rsidRDefault="00465A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2"/>
      <w:tblW w:w="5058" w:type="pct"/>
      <w:tblInd w:w="-5" w:type="dxa"/>
      <w:tblLayout w:type="fixed"/>
      <w:tblLook w:val="04A0" w:firstRow="1" w:lastRow="0" w:firstColumn="1" w:lastColumn="0" w:noHBand="0" w:noVBand="1"/>
    </w:tblPr>
    <w:tblGrid>
      <w:gridCol w:w="3402"/>
      <w:gridCol w:w="3401"/>
      <w:gridCol w:w="2127"/>
    </w:tblGrid>
    <w:tr w:rsidR="004E54AA" w:rsidRPr="006262F7" w14:paraId="02C3706D" w14:textId="77777777" w:rsidTr="006262F7">
      <w:trPr>
        <w:trHeight w:val="133"/>
      </w:trPr>
      <w:tc>
        <w:tcPr>
          <w:tcW w:w="1905" w:type="pct"/>
          <w:shd w:val="clear" w:color="auto" w:fill="auto"/>
        </w:tcPr>
        <w:p w14:paraId="26D22B71" w14:textId="77777777" w:rsidR="004E54AA" w:rsidRPr="006262F7" w:rsidRDefault="004E54AA" w:rsidP="006262F7">
          <w:pPr>
            <w:rPr>
              <w:rFonts w:eastAsia="Times New Roman" w:cs="Arial"/>
              <w:b/>
              <w:sz w:val="16"/>
              <w:szCs w:val="18"/>
            </w:rPr>
          </w:pPr>
          <w:r w:rsidRPr="006262F7">
            <w:rPr>
              <w:rFonts w:eastAsia="Times New Roman" w:cs="Arial"/>
              <w:b/>
              <w:sz w:val="16"/>
              <w:szCs w:val="18"/>
            </w:rPr>
            <w:t>ELABORÓ:</w:t>
          </w:r>
        </w:p>
        <w:p w14:paraId="67D94618" w14:textId="77777777" w:rsidR="004E54AA" w:rsidRPr="006262F7" w:rsidRDefault="004E54AA" w:rsidP="006262F7">
          <w:pPr>
            <w:rPr>
              <w:rFonts w:eastAsia="Times New Roman" w:cs="Arial"/>
              <w:sz w:val="18"/>
              <w:szCs w:val="18"/>
            </w:rPr>
          </w:pPr>
          <w:r w:rsidRPr="006262F7">
            <w:rPr>
              <w:rFonts w:eastAsia="Times New Roman" w:cs="Arial"/>
              <w:sz w:val="16"/>
              <w:szCs w:val="18"/>
            </w:rPr>
            <w:t>COORDINACIÓN CENTRO DE SERVICIOS</w:t>
          </w:r>
        </w:p>
      </w:tc>
      <w:tc>
        <w:tcPr>
          <w:tcW w:w="1904" w:type="pct"/>
          <w:shd w:val="clear" w:color="auto" w:fill="auto"/>
        </w:tcPr>
        <w:p w14:paraId="156301D4" w14:textId="77777777" w:rsidR="004E54AA" w:rsidRPr="006262F7" w:rsidRDefault="004E54AA" w:rsidP="006262F7">
          <w:pPr>
            <w:rPr>
              <w:rFonts w:eastAsia="Times New Roman" w:cs="Arial"/>
              <w:b/>
              <w:sz w:val="18"/>
              <w:szCs w:val="18"/>
            </w:rPr>
          </w:pPr>
          <w:r w:rsidRPr="006262F7">
            <w:rPr>
              <w:rFonts w:eastAsia="Times New Roman" w:cs="Arial"/>
              <w:b/>
              <w:sz w:val="18"/>
              <w:szCs w:val="18"/>
            </w:rPr>
            <w:t>APROBÓ:</w:t>
          </w:r>
        </w:p>
        <w:p w14:paraId="1249E634" w14:textId="77777777" w:rsidR="004E54AA" w:rsidRPr="006262F7" w:rsidRDefault="004E54AA" w:rsidP="006262F7">
          <w:pPr>
            <w:rPr>
              <w:rFonts w:eastAsia="Times New Roman" w:cs="Arial"/>
              <w:sz w:val="18"/>
              <w:szCs w:val="18"/>
            </w:rPr>
          </w:pPr>
          <w:r w:rsidRPr="006262F7">
            <w:rPr>
              <w:rFonts w:eastAsia="Times New Roman" w:cs="Arial"/>
              <w:sz w:val="16"/>
              <w:szCs w:val="18"/>
            </w:rPr>
            <w:t>COORDINACIÓN CENTRO DE SERVICIOS</w:t>
          </w:r>
        </w:p>
      </w:tc>
      <w:tc>
        <w:tcPr>
          <w:tcW w:w="1191" w:type="pct"/>
          <w:vMerge w:val="restart"/>
          <w:shd w:val="clear" w:color="auto" w:fill="auto"/>
          <w:vAlign w:val="center"/>
        </w:tcPr>
        <w:p w14:paraId="3811179B" w14:textId="77777777" w:rsidR="004E54AA" w:rsidRPr="006262F7" w:rsidRDefault="004E54AA" w:rsidP="006262F7">
          <w:pPr>
            <w:jc w:val="center"/>
            <w:rPr>
              <w:rFonts w:eastAsia="Times New Roman" w:cs="Arial"/>
              <w:sz w:val="18"/>
              <w:szCs w:val="18"/>
            </w:rPr>
          </w:pPr>
          <w:r w:rsidRPr="006262F7">
            <w:rPr>
              <w:rFonts w:eastAsia="Times New Roman" w:cs="Arial"/>
              <w:color w:val="7F7F7F" w:themeColor="background1" w:themeShade="7F"/>
              <w:spacing w:val="60"/>
              <w:sz w:val="18"/>
              <w:szCs w:val="18"/>
            </w:rPr>
            <w:t>Página</w:t>
          </w:r>
          <w:r w:rsidRPr="006262F7">
            <w:rPr>
              <w:rFonts w:eastAsia="Times New Roman" w:cs="Arial"/>
              <w:sz w:val="18"/>
              <w:szCs w:val="18"/>
            </w:rPr>
            <w:t xml:space="preserve"> | </w:t>
          </w:r>
          <w:r w:rsidRPr="006262F7">
            <w:rPr>
              <w:rFonts w:eastAsia="Times New Roman" w:cs="Arial"/>
              <w:sz w:val="18"/>
              <w:szCs w:val="18"/>
            </w:rPr>
            <w:fldChar w:fldCharType="begin"/>
          </w:r>
          <w:r w:rsidRPr="006262F7">
            <w:rPr>
              <w:rFonts w:eastAsia="Times New Roman" w:cs="Arial"/>
              <w:sz w:val="18"/>
              <w:szCs w:val="18"/>
            </w:rPr>
            <w:instrText>PAGE   \* MERGEFORMAT</w:instrText>
          </w:r>
          <w:r w:rsidRPr="006262F7">
            <w:rPr>
              <w:rFonts w:eastAsia="Times New Roman" w:cs="Arial"/>
              <w:sz w:val="18"/>
              <w:szCs w:val="18"/>
            </w:rPr>
            <w:fldChar w:fldCharType="separate"/>
          </w:r>
          <w:r w:rsidR="009B5E44" w:rsidRPr="009B5E44">
            <w:rPr>
              <w:rFonts w:eastAsia="Times New Roman" w:cs="Arial"/>
              <w:b/>
              <w:bCs/>
              <w:noProof/>
              <w:sz w:val="18"/>
              <w:szCs w:val="18"/>
            </w:rPr>
            <w:t>8</w:t>
          </w:r>
          <w:r w:rsidRPr="006262F7">
            <w:rPr>
              <w:rFonts w:eastAsia="Times New Roman" w:cs="Arial"/>
              <w:b/>
              <w:bCs/>
              <w:sz w:val="18"/>
              <w:szCs w:val="18"/>
            </w:rPr>
            <w:fldChar w:fldCharType="end"/>
          </w:r>
        </w:p>
      </w:tc>
    </w:tr>
    <w:tr w:rsidR="004E54AA" w:rsidRPr="006262F7" w14:paraId="62DAB3FB" w14:textId="77777777" w:rsidTr="006262F7">
      <w:trPr>
        <w:trHeight w:val="119"/>
      </w:trPr>
      <w:tc>
        <w:tcPr>
          <w:tcW w:w="1905" w:type="pct"/>
          <w:shd w:val="clear" w:color="auto" w:fill="auto"/>
        </w:tcPr>
        <w:p w14:paraId="1EBCB448" w14:textId="77777777" w:rsidR="004E54AA" w:rsidRPr="006262F7" w:rsidRDefault="004E54AA" w:rsidP="006262F7">
          <w:pPr>
            <w:tabs>
              <w:tab w:val="left" w:pos="1110"/>
            </w:tabs>
            <w:rPr>
              <w:rFonts w:eastAsia="Times New Roman" w:cs="Arial"/>
              <w:b/>
              <w:sz w:val="18"/>
              <w:szCs w:val="18"/>
            </w:rPr>
          </w:pPr>
          <w:r w:rsidRPr="006262F7">
            <w:rPr>
              <w:rFonts w:eastAsia="Times New Roman" w:cs="Arial"/>
              <w:b/>
              <w:sz w:val="18"/>
              <w:szCs w:val="18"/>
            </w:rPr>
            <w:t>FECHA:</w:t>
          </w:r>
          <w:r w:rsidRPr="006262F7">
            <w:rPr>
              <w:rFonts w:eastAsia="Times New Roman" w:cs="Arial"/>
              <w:b/>
              <w:sz w:val="18"/>
              <w:szCs w:val="18"/>
            </w:rPr>
            <w:tab/>
          </w:r>
        </w:p>
        <w:p w14:paraId="485CE7DA" w14:textId="6547AF0D" w:rsidR="004E54AA" w:rsidRPr="006262F7" w:rsidRDefault="004E54AA" w:rsidP="00BF5556">
          <w:pPr>
            <w:tabs>
              <w:tab w:val="left" w:pos="1110"/>
            </w:tabs>
            <w:rPr>
              <w:rFonts w:eastAsia="Times New Roman" w:cs="Arial"/>
              <w:sz w:val="18"/>
              <w:szCs w:val="18"/>
            </w:rPr>
          </w:pPr>
          <w:r>
            <w:rPr>
              <w:rFonts w:eastAsia="Times New Roman" w:cs="Arial"/>
              <w:sz w:val="18"/>
              <w:szCs w:val="18"/>
            </w:rPr>
            <w:t>Julio de 2019</w:t>
          </w:r>
        </w:p>
      </w:tc>
      <w:tc>
        <w:tcPr>
          <w:tcW w:w="1904" w:type="pct"/>
          <w:shd w:val="clear" w:color="auto" w:fill="auto"/>
        </w:tcPr>
        <w:p w14:paraId="2F3781CB" w14:textId="77777777" w:rsidR="004E54AA" w:rsidRPr="006262F7" w:rsidRDefault="004E54AA" w:rsidP="006262F7">
          <w:pPr>
            <w:rPr>
              <w:rFonts w:eastAsia="Times New Roman" w:cs="Arial"/>
              <w:b/>
              <w:sz w:val="18"/>
              <w:szCs w:val="18"/>
            </w:rPr>
          </w:pPr>
          <w:r w:rsidRPr="006262F7">
            <w:rPr>
              <w:rFonts w:eastAsia="Times New Roman" w:cs="Arial"/>
              <w:b/>
              <w:sz w:val="18"/>
              <w:szCs w:val="18"/>
            </w:rPr>
            <w:t xml:space="preserve">FECHA: </w:t>
          </w:r>
        </w:p>
        <w:p w14:paraId="7F7B1C4A" w14:textId="19EB31C5" w:rsidR="004E54AA" w:rsidRPr="006262F7" w:rsidRDefault="004E54AA" w:rsidP="006262F7">
          <w:pPr>
            <w:rPr>
              <w:rFonts w:eastAsia="Times New Roman" w:cs="Arial"/>
              <w:b/>
              <w:sz w:val="18"/>
              <w:szCs w:val="18"/>
            </w:rPr>
          </w:pPr>
        </w:p>
      </w:tc>
      <w:tc>
        <w:tcPr>
          <w:tcW w:w="1191" w:type="pct"/>
          <w:vMerge/>
          <w:shd w:val="clear" w:color="auto" w:fill="auto"/>
        </w:tcPr>
        <w:p w14:paraId="30F93107" w14:textId="77777777" w:rsidR="004E54AA" w:rsidRPr="006262F7" w:rsidRDefault="004E54AA" w:rsidP="006262F7">
          <w:pPr>
            <w:ind w:left="708" w:hanging="708"/>
            <w:rPr>
              <w:rFonts w:eastAsia="Times New Roman" w:cs="Arial"/>
              <w:b/>
              <w:sz w:val="18"/>
              <w:szCs w:val="18"/>
            </w:rPr>
          </w:pPr>
        </w:p>
      </w:tc>
    </w:tr>
  </w:tbl>
  <w:p w14:paraId="5ECE4076" w14:textId="77777777" w:rsidR="004E54AA" w:rsidRDefault="004E54A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A2379" w14:textId="77777777" w:rsidR="00465A42" w:rsidRDefault="00465A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35233" w14:textId="77777777" w:rsidR="004E54AA" w:rsidRDefault="004E54AA" w:rsidP="00E027BC">
      <w:pPr>
        <w:spacing w:after="0" w:line="240" w:lineRule="auto"/>
      </w:pPr>
      <w:r>
        <w:separator/>
      </w:r>
    </w:p>
  </w:footnote>
  <w:footnote w:type="continuationSeparator" w:id="0">
    <w:p w14:paraId="0D8A7562" w14:textId="77777777" w:rsidR="004E54AA" w:rsidRDefault="004E54AA" w:rsidP="00E02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535C8" w14:textId="77777777" w:rsidR="00465A42" w:rsidRDefault="00465A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1"/>
      <w:tblW w:w="5661" w:type="pct"/>
      <w:jc w:val="center"/>
      <w:tblLayout w:type="fixed"/>
      <w:tblLook w:val="04A0" w:firstRow="1" w:lastRow="0" w:firstColumn="1" w:lastColumn="0" w:noHBand="0" w:noVBand="1"/>
    </w:tblPr>
    <w:tblGrid>
      <w:gridCol w:w="2749"/>
      <w:gridCol w:w="3188"/>
      <w:gridCol w:w="2321"/>
      <w:gridCol w:w="1737"/>
    </w:tblGrid>
    <w:tr w:rsidR="004E54AA" w:rsidRPr="006262F7" w14:paraId="24513EAF" w14:textId="77777777" w:rsidTr="006262F7">
      <w:trPr>
        <w:trHeight w:val="477"/>
        <w:jc w:val="center"/>
      </w:trPr>
      <w:tc>
        <w:tcPr>
          <w:tcW w:w="1375" w:type="pct"/>
          <w:vMerge w:val="restart"/>
          <w:vAlign w:val="center"/>
        </w:tcPr>
        <w:p w14:paraId="62C0A288" w14:textId="77777777" w:rsidR="004E54AA" w:rsidRPr="006262F7" w:rsidRDefault="004E54AA" w:rsidP="006262F7">
          <w:pPr>
            <w:tabs>
              <w:tab w:val="center" w:pos="4419"/>
              <w:tab w:val="right" w:pos="8838"/>
            </w:tabs>
            <w:ind w:left="-113"/>
            <w:jc w:val="center"/>
            <w:rPr>
              <w:rFonts w:eastAsia="Times New Roman" w:cs="Arial"/>
              <w:sz w:val="18"/>
              <w:szCs w:val="18"/>
            </w:rPr>
          </w:pPr>
          <w:r w:rsidRPr="006262F7">
            <w:rPr>
              <w:noProof/>
              <w:lang w:eastAsia="es-ES"/>
            </w:rPr>
            <w:drawing>
              <wp:anchor distT="0" distB="0" distL="114300" distR="114300" simplePos="0" relativeHeight="251657728" behindDoc="0" locked="0" layoutInCell="1" allowOverlap="1" wp14:anchorId="5BE43855" wp14:editId="5D520E1D">
                <wp:simplePos x="0" y="0"/>
                <wp:positionH relativeFrom="column">
                  <wp:posOffset>-1252855</wp:posOffset>
                </wp:positionH>
                <wp:positionV relativeFrom="paragraph">
                  <wp:posOffset>-146050</wp:posOffset>
                </wp:positionV>
                <wp:extent cx="1699895" cy="552450"/>
                <wp:effectExtent l="0" t="0" r="0" b="0"/>
                <wp:wrapThrough wrapText="bothSides">
                  <wp:wrapPolygon edited="0">
                    <wp:start x="1694" y="0"/>
                    <wp:lineTo x="484" y="5214"/>
                    <wp:lineTo x="0" y="8938"/>
                    <wp:lineTo x="0" y="14152"/>
                    <wp:lineTo x="1694" y="19366"/>
                    <wp:lineTo x="1936" y="20855"/>
                    <wp:lineTo x="4599" y="20855"/>
                    <wp:lineTo x="16702" y="17131"/>
                    <wp:lineTo x="17428" y="13407"/>
                    <wp:lineTo x="21301" y="13407"/>
                    <wp:lineTo x="21301" y="8193"/>
                    <wp:lineTo x="4599" y="0"/>
                    <wp:lineTo x="1694" y="0"/>
                  </wp:wrapPolygon>
                </wp:wrapThrough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SJ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95" w:type="pct"/>
          <w:vAlign w:val="center"/>
        </w:tcPr>
        <w:p w14:paraId="132833D2" w14:textId="77777777" w:rsidR="004E54AA" w:rsidRPr="006262F7" w:rsidRDefault="004E54AA" w:rsidP="006262F7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b/>
              <w:sz w:val="18"/>
              <w:szCs w:val="18"/>
            </w:rPr>
          </w:pPr>
          <w:r w:rsidRPr="006262F7">
            <w:rPr>
              <w:rFonts w:eastAsia="Times New Roman" w:cs="Arial"/>
              <w:b/>
              <w:sz w:val="18"/>
              <w:szCs w:val="18"/>
            </w:rPr>
            <w:t>PROCESO:</w:t>
          </w:r>
        </w:p>
        <w:p w14:paraId="0858AECC" w14:textId="77777777" w:rsidR="004E54AA" w:rsidRPr="006262F7" w:rsidRDefault="004E54AA" w:rsidP="006262F7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sz w:val="18"/>
              <w:szCs w:val="18"/>
            </w:rPr>
          </w:pPr>
          <w:r w:rsidRPr="006262F7">
            <w:rPr>
              <w:rFonts w:eastAsia="Times New Roman" w:cs="Arial"/>
              <w:sz w:val="18"/>
              <w:szCs w:val="18"/>
            </w:rPr>
            <w:t xml:space="preserve">DIRECCIONAMIENTO ESTRATÉGICO </w:t>
          </w:r>
        </w:p>
      </w:tc>
      <w:tc>
        <w:tcPr>
          <w:tcW w:w="1161" w:type="pct"/>
          <w:vAlign w:val="center"/>
        </w:tcPr>
        <w:p w14:paraId="4D3681BB" w14:textId="2F24440B" w:rsidR="004E54AA" w:rsidRPr="006262F7" w:rsidRDefault="004E54AA" w:rsidP="00DC0E10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b/>
              <w:sz w:val="18"/>
              <w:szCs w:val="18"/>
            </w:rPr>
          </w:pPr>
          <w:r w:rsidRPr="006262F7">
            <w:rPr>
              <w:rFonts w:eastAsia="Times New Roman" w:cs="Arial"/>
              <w:b/>
              <w:sz w:val="18"/>
              <w:szCs w:val="18"/>
            </w:rPr>
            <w:t>CÓDIGO</w:t>
          </w:r>
          <w:r w:rsidRPr="006262F7">
            <w:rPr>
              <w:rFonts w:eastAsia="Times New Roman" w:cs="Arial"/>
              <w:sz w:val="18"/>
              <w:szCs w:val="18"/>
            </w:rPr>
            <w:t>: CSJCF-DE-</w:t>
          </w:r>
          <w:r>
            <w:rPr>
              <w:rFonts w:eastAsia="Times New Roman" w:cs="Arial"/>
              <w:sz w:val="18"/>
              <w:szCs w:val="18"/>
            </w:rPr>
            <w:t>PL02</w:t>
          </w:r>
        </w:p>
      </w:tc>
      <w:tc>
        <w:tcPr>
          <w:tcW w:w="869" w:type="pct"/>
          <w:vMerge w:val="restart"/>
          <w:vAlign w:val="center"/>
        </w:tcPr>
        <w:p w14:paraId="3F1BB08F" w14:textId="77777777" w:rsidR="004E54AA" w:rsidRPr="006262F7" w:rsidRDefault="004E54AA" w:rsidP="006262F7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sz w:val="18"/>
              <w:szCs w:val="18"/>
            </w:rPr>
          </w:pPr>
          <w:r w:rsidRPr="006262F7">
            <w:rPr>
              <w:rFonts w:eastAsia="Calibri" w:cs="Calibri"/>
              <w:noProof/>
              <w:color w:val="000000"/>
              <w:sz w:val="18"/>
              <w:szCs w:val="18"/>
              <w:lang w:eastAsia="es-ES"/>
            </w:rPr>
            <w:drawing>
              <wp:anchor distT="0" distB="0" distL="114300" distR="114300" simplePos="0" relativeHeight="251656704" behindDoc="1" locked="0" layoutInCell="1" allowOverlap="1" wp14:anchorId="2FF44454" wp14:editId="48EE2388">
                <wp:simplePos x="0" y="0"/>
                <wp:positionH relativeFrom="column">
                  <wp:posOffset>28575</wp:posOffset>
                </wp:positionH>
                <wp:positionV relativeFrom="page">
                  <wp:posOffset>-10160</wp:posOffset>
                </wp:positionV>
                <wp:extent cx="841375" cy="838200"/>
                <wp:effectExtent l="0" t="0" r="0" b="0"/>
                <wp:wrapNone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E54AA" w:rsidRPr="006262F7" w14:paraId="67EF217A" w14:textId="77777777" w:rsidTr="006262F7">
      <w:trPr>
        <w:trHeight w:val="833"/>
        <w:jc w:val="center"/>
      </w:trPr>
      <w:tc>
        <w:tcPr>
          <w:tcW w:w="1375" w:type="pct"/>
          <w:vMerge/>
          <w:vAlign w:val="center"/>
        </w:tcPr>
        <w:p w14:paraId="5BDE8628" w14:textId="77777777" w:rsidR="004E54AA" w:rsidRPr="006262F7" w:rsidRDefault="004E54AA" w:rsidP="006262F7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sz w:val="18"/>
              <w:szCs w:val="18"/>
            </w:rPr>
          </w:pPr>
        </w:p>
      </w:tc>
      <w:tc>
        <w:tcPr>
          <w:tcW w:w="1595" w:type="pct"/>
          <w:vAlign w:val="center"/>
        </w:tcPr>
        <w:p w14:paraId="2243F534" w14:textId="495E0B40" w:rsidR="004E54AA" w:rsidRPr="00DC0E10" w:rsidRDefault="004E54AA" w:rsidP="006262F7">
          <w:pPr>
            <w:tabs>
              <w:tab w:val="left" w:pos="426"/>
            </w:tabs>
            <w:jc w:val="center"/>
            <w:rPr>
              <w:rFonts w:eastAsia="Times New Roman" w:cs="Times New Roman"/>
              <w:lang w:val="es-MX" w:eastAsia="es-ES"/>
            </w:rPr>
          </w:pPr>
          <w:r w:rsidRPr="00DC0E10">
            <w:rPr>
              <w:rFonts w:eastAsia="Times New Roman" w:cs="Arial"/>
              <w:sz w:val="18"/>
              <w:szCs w:val="18"/>
            </w:rPr>
            <w:t>PLAN DE CONTINUIDAD</w:t>
          </w:r>
        </w:p>
      </w:tc>
      <w:tc>
        <w:tcPr>
          <w:tcW w:w="1161" w:type="pct"/>
          <w:vAlign w:val="center"/>
        </w:tcPr>
        <w:p w14:paraId="24228690" w14:textId="19B0E4AB" w:rsidR="004E54AA" w:rsidRPr="006262F7" w:rsidRDefault="004E54AA" w:rsidP="00DC0E10">
          <w:pPr>
            <w:tabs>
              <w:tab w:val="center" w:pos="4419"/>
              <w:tab w:val="right" w:pos="8838"/>
            </w:tabs>
            <w:jc w:val="center"/>
            <w:rPr>
              <w:rFonts w:eastAsia="Times New Roman" w:cs="Arial"/>
              <w:b/>
              <w:sz w:val="18"/>
              <w:szCs w:val="18"/>
            </w:rPr>
          </w:pPr>
          <w:r w:rsidRPr="006262F7">
            <w:rPr>
              <w:rFonts w:eastAsia="Times New Roman" w:cs="Arial"/>
              <w:b/>
              <w:sz w:val="18"/>
              <w:szCs w:val="18"/>
            </w:rPr>
            <w:t xml:space="preserve">VERSIÓN: </w:t>
          </w:r>
          <w:r>
            <w:rPr>
              <w:rFonts w:eastAsia="Times New Roman" w:cs="Arial"/>
              <w:b/>
              <w:sz w:val="18"/>
              <w:szCs w:val="18"/>
            </w:rPr>
            <w:t>1</w:t>
          </w:r>
        </w:p>
      </w:tc>
      <w:tc>
        <w:tcPr>
          <w:tcW w:w="869" w:type="pct"/>
          <w:vMerge/>
          <w:vAlign w:val="center"/>
        </w:tcPr>
        <w:p w14:paraId="5B911568" w14:textId="77777777" w:rsidR="004E54AA" w:rsidRPr="006262F7" w:rsidRDefault="004E54AA" w:rsidP="006262F7">
          <w:pPr>
            <w:jc w:val="center"/>
            <w:rPr>
              <w:rFonts w:eastAsia="Times New Roman" w:cs="Arial"/>
              <w:sz w:val="18"/>
              <w:szCs w:val="18"/>
            </w:rPr>
          </w:pPr>
        </w:p>
      </w:tc>
    </w:tr>
  </w:tbl>
  <w:sdt>
    <w:sdtPr>
      <w:id w:val="1390153419"/>
      <w:docPartObj>
        <w:docPartGallery w:val="Watermarks"/>
        <w:docPartUnique/>
      </w:docPartObj>
    </w:sdtPr>
    <w:sdtEndPr/>
    <w:sdtContent>
      <w:p w14:paraId="65A32C5B" w14:textId="0421A5D9" w:rsidR="004E54AA" w:rsidRDefault="009B5E44">
        <w:pPr>
          <w:pStyle w:val="Encabezado"/>
        </w:pPr>
        <w:r>
          <w:pict w14:anchorId="397FD4E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8673" type="#_x0000_t136" style="position:absolute;left:0;text-align:left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05D1D" w14:textId="77777777" w:rsidR="00465A42" w:rsidRDefault="00465A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4476"/>
    <w:multiLevelType w:val="hybridMultilevel"/>
    <w:tmpl w:val="4AE0C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1209"/>
    <w:multiLevelType w:val="hybridMultilevel"/>
    <w:tmpl w:val="408A65F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A3435"/>
    <w:multiLevelType w:val="hybridMultilevel"/>
    <w:tmpl w:val="6A443D4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D97124"/>
    <w:multiLevelType w:val="hybridMultilevel"/>
    <w:tmpl w:val="AA90F76E"/>
    <w:lvl w:ilvl="0" w:tplc="F302427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6E24CE"/>
    <w:multiLevelType w:val="hybridMultilevel"/>
    <w:tmpl w:val="7A8A62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3242"/>
    <w:multiLevelType w:val="hybridMultilevel"/>
    <w:tmpl w:val="968018C4"/>
    <w:lvl w:ilvl="0" w:tplc="F302427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A55B4"/>
    <w:multiLevelType w:val="hybridMultilevel"/>
    <w:tmpl w:val="B08EB76E"/>
    <w:lvl w:ilvl="0" w:tplc="744AB17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3C5FDF"/>
    <w:multiLevelType w:val="hybridMultilevel"/>
    <w:tmpl w:val="7416D8A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C32191"/>
    <w:multiLevelType w:val="hybridMultilevel"/>
    <w:tmpl w:val="8CF2C4DA"/>
    <w:lvl w:ilvl="0" w:tplc="F302427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D15D9A"/>
    <w:multiLevelType w:val="hybridMultilevel"/>
    <w:tmpl w:val="57E41BC2"/>
    <w:lvl w:ilvl="0" w:tplc="407C4D5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A12916"/>
    <w:multiLevelType w:val="hybridMultilevel"/>
    <w:tmpl w:val="B602D83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4FBF2361"/>
    <w:multiLevelType w:val="hybridMultilevel"/>
    <w:tmpl w:val="CED2CC0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52138D"/>
    <w:multiLevelType w:val="hybridMultilevel"/>
    <w:tmpl w:val="9262499E"/>
    <w:lvl w:ilvl="0" w:tplc="F302427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92EAA"/>
    <w:multiLevelType w:val="hybridMultilevel"/>
    <w:tmpl w:val="3AC63AC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936690"/>
    <w:multiLevelType w:val="hybridMultilevel"/>
    <w:tmpl w:val="83D26F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111271"/>
    <w:multiLevelType w:val="hybridMultilevel"/>
    <w:tmpl w:val="43B01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909C2"/>
    <w:multiLevelType w:val="hybridMultilevel"/>
    <w:tmpl w:val="885EF1D6"/>
    <w:lvl w:ilvl="0" w:tplc="F302427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5"/>
  </w:num>
  <w:num w:numId="10">
    <w:abstractNumId w:val="8"/>
  </w:num>
  <w:num w:numId="11">
    <w:abstractNumId w:val="13"/>
  </w:num>
  <w:num w:numId="12">
    <w:abstractNumId w:val="11"/>
  </w:num>
  <w:num w:numId="13">
    <w:abstractNumId w:val="14"/>
  </w:num>
  <w:num w:numId="14">
    <w:abstractNumId w:val="2"/>
  </w:num>
  <w:num w:numId="15">
    <w:abstractNumId w:val="12"/>
  </w:num>
  <w:num w:numId="16">
    <w:abstractNumId w:val="7"/>
  </w:num>
  <w:num w:numId="17">
    <w:abstractNumId w:val="1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CF - Escribiente de Circuito">
    <w15:presenceInfo w15:providerId="AD" w15:userId="S-1-5-21-3339166616-3312410127-3910977790-1259"/>
  </w15:person>
  <w15:person w15:author="CSCF - Escribiente de Circuito [2]">
    <w15:presenceInfo w15:providerId="AD" w15:userId="S-1-5-21-3339166616-3312410127-3910977790-12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4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BC"/>
    <w:rsid w:val="00004B25"/>
    <w:rsid w:val="0001219E"/>
    <w:rsid w:val="00013F3C"/>
    <w:rsid w:val="00014445"/>
    <w:rsid w:val="00016FC0"/>
    <w:rsid w:val="00031451"/>
    <w:rsid w:val="0004544D"/>
    <w:rsid w:val="00046C1A"/>
    <w:rsid w:val="00052DC4"/>
    <w:rsid w:val="0005379A"/>
    <w:rsid w:val="00054159"/>
    <w:rsid w:val="000547B2"/>
    <w:rsid w:val="000758A7"/>
    <w:rsid w:val="00082DCD"/>
    <w:rsid w:val="000A170A"/>
    <w:rsid w:val="000B1641"/>
    <w:rsid w:val="000B1AF3"/>
    <w:rsid w:val="000B3530"/>
    <w:rsid w:val="000B7D73"/>
    <w:rsid w:val="000C2290"/>
    <w:rsid w:val="000D0D76"/>
    <w:rsid w:val="000D53D4"/>
    <w:rsid w:val="000D7459"/>
    <w:rsid w:val="000E6A41"/>
    <w:rsid w:val="000F1279"/>
    <w:rsid w:val="000F4789"/>
    <w:rsid w:val="000F4C8A"/>
    <w:rsid w:val="000F7EEE"/>
    <w:rsid w:val="00106D72"/>
    <w:rsid w:val="00113CEB"/>
    <w:rsid w:val="00114DF8"/>
    <w:rsid w:val="001222E5"/>
    <w:rsid w:val="00134B84"/>
    <w:rsid w:val="00150AE8"/>
    <w:rsid w:val="00154AEB"/>
    <w:rsid w:val="00157BEF"/>
    <w:rsid w:val="00165AE5"/>
    <w:rsid w:val="00170BB9"/>
    <w:rsid w:val="001746C9"/>
    <w:rsid w:val="0018078C"/>
    <w:rsid w:val="00183FBB"/>
    <w:rsid w:val="00184AD7"/>
    <w:rsid w:val="001953F4"/>
    <w:rsid w:val="0019585D"/>
    <w:rsid w:val="001A05DD"/>
    <w:rsid w:val="001A1374"/>
    <w:rsid w:val="001A3C5B"/>
    <w:rsid w:val="001A736A"/>
    <w:rsid w:val="001A75BE"/>
    <w:rsid w:val="001B19D2"/>
    <w:rsid w:val="001B733A"/>
    <w:rsid w:val="001D0C56"/>
    <w:rsid w:val="001D3022"/>
    <w:rsid w:val="001D6434"/>
    <w:rsid w:val="0021284D"/>
    <w:rsid w:val="002141DC"/>
    <w:rsid w:val="0021457D"/>
    <w:rsid w:val="0023231F"/>
    <w:rsid w:val="00252FBC"/>
    <w:rsid w:val="00254A1F"/>
    <w:rsid w:val="00285508"/>
    <w:rsid w:val="0028657C"/>
    <w:rsid w:val="00286DD2"/>
    <w:rsid w:val="00287F9E"/>
    <w:rsid w:val="00292C3A"/>
    <w:rsid w:val="002A42B9"/>
    <w:rsid w:val="002C21CF"/>
    <w:rsid w:val="002C32B4"/>
    <w:rsid w:val="002D490E"/>
    <w:rsid w:val="002D6315"/>
    <w:rsid w:val="002D7D20"/>
    <w:rsid w:val="002F14B9"/>
    <w:rsid w:val="002F76AB"/>
    <w:rsid w:val="003201BB"/>
    <w:rsid w:val="00325504"/>
    <w:rsid w:val="00326F83"/>
    <w:rsid w:val="0034224B"/>
    <w:rsid w:val="00350334"/>
    <w:rsid w:val="00355FA4"/>
    <w:rsid w:val="00374C18"/>
    <w:rsid w:val="003779FB"/>
    <w:rsid w:val="003851D4"/>
    <w:rsid w:val="00395E0C"/>
    <w:rsid w:val="003964E8"/>
    <w:rsid w:val="003A1B34"/>
    <w:rsid w:val="003A5A11"/>
    <w:rsid w:val="003B3089"/>
    <w:rsid w:val="003B328A"/>
    <w:rsid w:val="003B3A9A"/>
    <w:rsid w:val="003B3BA6"/>
    <w:rsid w:val="003C0F90"/>
    <w:rsid w:val="003D0891"/>
    <w:rsid w:val="003D5CC6"/>
    <w:rsid w:val="003E3A39"/>
    <w:rsid w:val="003F3EC8"/>
    <w:rsid w:val="003F7915"/>
    <w:rsid w:val="00402DDC"/>
    <w:rsid w:val="00406E49"/>
    <w:rsid w:val="00412830"/>
    <w:rsid w:val="00422015"/>
    <w:rsid w:val="00432464"/>
    <w:rsid w:val="00450242"/>
    <w:rsid w:val="00455812"/>
    <w:rsid w:val="00455AF0"/>
    <w:rsid w:val="004560FA"/>
    <w:rsid w:val="00465A42"/>
    <w:rsid w:val="00473E5A"/>
    <w:rsid w:val="004742FD"/>
    <w:rsid w:val="00477EBA"/>
    <w:rsid w:val="004810C3"/>
    <w:rsid w:val="004831F7"/>
    <w:rsid w:val="00486C61"/>
    <w:rsid w:val="004A4AA8"/>
    <w:rsid w:val="004A5957"/>
    <w:rsid w:val="004A6130"/>
    <w:rsid w:val="004D0050"/>
    <w:rsid w:val="004D0977"/>
    <w:rsid w:val="004D1582"/>
    <w:rsid w:val="004D3A11"/>
    <w:rsid w:val="004E54AA"/>
    <w:rsid w:val="004E63E7"/>
    <w:rsid w:val="004E6D3A"/>
    <w:rsid w:val="005052B8"/>
    <w:rsid w:val="00507F77"/>
    <w:rsid w:val="00512738"/>
    <w:rsid w:val="00514EDF"/>
    <w:rsid w:val="00516869"/>
    <w:rsid w:val="0052115A"/>
    <w:rsid w:val="005219D6"/>
    <w:rsid w:val="0053308E"/>
    <w:rsid w:val="00540AD4"/>
    <w:rsid w:val="0054515C"/>
    <w:rsid w:val="00551454"/>
    <w:rsid w:val="0055177F"/>
    <w:rsid w:val="00555E6C"/>
    <w:rsid w:val="0057658F"/>
    <w:rsid w:val="005853AF"/>
    <w:rsid w:val="00592168"/>
    <w:rsid w:val="00594DC9"/>
    <w:rsid w:val="005A158D"/>
    <w:rsid w:val="005A4FD4"/>
    <w:rsid w:val="005B1BBE"/>
    <w:rsid w:val="005D14CB"/>
    <w:rsid w:val="005D2134"/>
    <w:rsid w:val="005E12D5"/>
    <w:rsid w:val="005E4827"/>
    <w:rsid w:val="006062AD"/>
    <w:rsid w:val="006221AC"/>
    <w:rsid w:val="00624E8A"/>
    <w:rsid w:val="006262F7"/>
    <w:rsid w:val="00635CDB"/>
    <w:rsid w:val="00644E2C"/>
    <w:rsid w:val="00645C56"/>
    <w:rsid w:val="00663F64"/>
    <w:rsid w:val="00667F85"/>
    <w:rsid w:val="006778CE"/>
    <w:rsid w:val="00681CFF"/>
    <w:rsid w:val="006822CF"/>
    <w:rsid w:val="00683F91"/>
    <w:rsid w:val="006A3D42"/>
    <w:rsid w:val="006B24EB"/>
    <w:rsid w:val="006B3E13"/>
    <w:rsid w:val="006B5088"/>
    <w:rsid w:val="006E0CA8"/>
    <w:rsid w:val="006E7B5D"/>
    <w:rsid w:val="007004A6"/>
    <w:rsid w:val="0070173A"/>
    <w:rsid w:val="007120AC"/>
    <w:rsid w:val="00713A01"/>
    <w:rsid w:val="00714160"/>
    <w:rsid w:val="007302E0"/>
    <w:rsid w:val="00746DEE"/>
    <w:rsid w:val="00763991"/>
    <w:rsid w:val="0076711E"/>
    <w:rsid w:val="00771EF0"/>
    <w:rsid w:val="00796828"/>
    <w:rsid w:val="007A562D"/>
    <w:rsid w:val="007B3824"/>
    <w:rsid w:val="007D24D9"/>
    <w:rsid w:val="007D51CF"/>
    <w:rsid w:val="007D595F"/>
    <w:rsid w:val="007D71DD"/>
    <w:rsid w:val="007E6E84"/>
    <w:rsid w:val="007E7109"/>
    <w:rsid w:val="007F5F4C"/>
    <w:rsid w:val="0080257C"/>
    <w:rsid w:val="00803EEB"/>
    <w:rsid w:val="008155FD"/>
    <w:rsid w:val="0081723B"/>
    <w:rsid w:val="00824083"/>
    <w:rsid w:val="00854114"/>
    <w:rsid w:val="0085434C"/>
    <w:rsid w:val="00857C79"/>
    <w:rsid w:val="00861E63"/>
    <w:rsid w:val="00864173"/>
    <w:rsid w:val="00880FA6"/>
    <w:rsid w:val="00887615"/>
    <w:rsid w:val="00893D77"/>
    <w:rsid w:val="00893F26"/>
    <w:rsid w:val="008A4D32"/>
    <w:rsid w:val="008B0FFE"/>
    <w:rsid w:val="008C522C"/>
    <w:rsid w:val="008C5FA0"/>
    <w:rsid w:val="008C64C8"/>
    <w:rsid w:val="008C677A"/>
    <w:rsid w:val="00922A0A"/>
    <w:rsid w:val="009267D1"/>
    <w:rsid w:val="009455D2"/>
    <w:rsid w:val="00947890"/>
    <w:rsid w:val="0095107E"/>
    <w:rsid w:val="00962AEC"/>
    <w:rsid w:val="00971780"/>
    <w:rsid w:val="00996F3D"/>
    <w:rsid w:val="009A5D0A"/>
    <w:rsid w:val="009A5DBC"/>
    <w:rsid w:val="009B51F8"/>
    <w:rsid w:val="009B56D7"/>
    <w:rsid w:val="009B5E44"/>
    <w:rsid w:val="009B6D7C"/>
    <w:rsid w:val="009D16A2"/>
    <w:rsid w:val="009E2E00"/>
    <w:rsid w:val="009E4063"/>
    <w:rsid w:val="00A12466"/>
    <w:rsid w:val="00A22C45"/>
    <w:rsid w:val="00A2605B"/>
    <w:rsid w:val="00A36616"/>
    <w:rsid w:val="00A43845"/>
    <w:rsid w:val="00A57959"/>
    <w:rsid w:val="00A67D10"/>
    <w:rsid w:val="00A81182"/>
    <w:rsid w:val="00AA341B"/>
    <w:rsid w:val="00AA5693"/>
    <w:rsid w:val="00AA727B"/>
    <w:rsid w:val="00AA7907"/>
    <w:rsid w:val="00AB3DDF"/>
    <w:rsid w:val="00AC6DF4"/>
    <w:rsid w:val="00AD7093"/>
    <w:rsid w:val="00AE1879"/>
    <w:rsid w:val="00AE1F0D"/>
    <w:rsid w:val="00AE6A0C"/>
    <w:rsid w:val="00AF0420"/>
    <w:rsid w:val="00AF5B80"/>
    <w:rsid w:val="00B05488"/>
    <w:rsid w:val="00B15983"/>
    <w:rsid w:val="00B24B25"/>
    <w:rsid w:val="00B25942"/>
    <w:rsid w:val="00B27A27"/>
    <w:rsid w:val="00B3067F"/>
    <w:rsid w:val="00B32DC0"/>
    <w:rsid w:val="00B352CE"/>
    <w:rsid w:val="00B50892"/>
    <w:rsid w:val="00B67BD1"/>
    <w:rsid w:val="00B77321"/>
    <w:rsid w:val="00B77BBD"/>
    <w:rsid w:val="00B818CE"/>
    <w:rsid w:val="00B85112"/>
    <w:rsid w:val="00B85A44"/>
    <w:rsid w:val="00BA1892"/>
    <w:rsid w:val="00BA544E"/>
    <w:rsid w:val="00BB4248"/>
    <w:rsid w:val="00BC0528"/>
    <w:rsid w:val="00BC0780"/>
    <w:rsid w:val="00BD04AC"/>
    <w:rsid w:val="00BE047B"/>
    <w:rsid w:val="00BF5556"/>
    <w:rsid w:val="00BF6CCB"/>
    <w:rsid w:val="00C04EDA"/>
    <w:rsid w:val="00C131F7"/>
    <w:rsid w:val="00C37A63"/>
    <w:rsid w:val="00C435D5"/>
    <w:rsid w:val="00C51188"/>
    <w:rsid w:val="00C56318"/>
    <w:rsid w:val="00C63FCE"/>
    <w:rsid w:val="00C67BC4"/>
    <w:rsid w:val="00C74C80"/>
    <w:rsid w:val="00C802BA"/>
    <w:rsid w:val="00C85C8D"/>
    <w:rsid w:val="00C86C2E"/>
    <w:rsid w:val="00C91D14"/>
    <w:rsid w:val="00C962C2"/>
    <w:rsid w:val="00C973F0"/>
    <w:rsid w:val="00CD051B"/>
    <w:rsid w:val="00CD16F9"/>
    <w:rsid w:val="00CD3B47"/>
    <w:rsid w:val="00CD60C1"/>
    <w:rsid w:val="00CE079F"/>
    <w:rsid w:val="00CE2EB0"/>
    <w:rsid w:val="00CE4CFB"/>
    <w:rsid w:val="00D12294"/>
    <w:rsid w:val="00D123F9"/>
    <w:rsid w:val="00D12A4F"/>
    <w:rsid w:val="00D34F22"/>
    <w:rsid w:val="00D35E4E"/>
    <w:rsid w:val="00D42326"/>
    <w:rsid w:val="00D552FA"/>
    <w:rsid w:val="00D55D7B"/>
    <w:rsid w:val="00D621B9"/>
    <w:rsid w:val="00D65CE1"/>
    <w:rsid w:val="00D66877"/>
    <w:rsid w:val="00D71AD5"/>
    <w:rsid w:val="00D808D8"/>
    <w:rsid w:val="00D84C6E"/>
    <w:rsid w:val="00D87EF5"/>
    <w:rsid w:val="00D938B1"/>
    <w:rsid w:val="00DA3591"/>
    <w:rsid w:val="00DA59EA"/>
    <w:rsid w:val="00DA6055"/>
    <w:rsid w:val="00DA7C2F"/>
    <w:rsid w:val="00DB52D9"/>
    <w:rsid w:val="00DB6CDB"/>
    <w:rsid w:val="00DC0E10"/>
    <w:rsid w:val="00DC1CA2"/>
    <w:rsid w:val="00DC78F6"/>
    <w:rsid w:val="00DE1A1A"/>
    <w:rsid w:val="00DE2C19"/>
    <w:rsid w:val="00DE4489"/>
    <w:rsid w:val="00E01C7C"/>
    <w:rsid w:val="00E01E81"/>
    <w:rsid w:val="00E027BC"/>
    <w:rsid w:val="00E11027"/>
    <w:rsid w:val="00E1324D"/>
    <w:rsid w:val="00E151A5"/>
    <w:rsid w:val="00E17516"/>
    <w:rsid w:val="00E176DA"/>
    <w:rsid w:val="00E237E4"/>
    <w:rsid w:val="00E353D9"/>
    <w:rsid w:val="00E43E6A"/>
    <w:rsid w:val="00E479AA"/>
    <w:rsid w:val="00E50471"/>
    <w:rsid w:val="00E53821"/>
    <w:rsid w:val="00E80270"/>
    <w:rsid w:val="00E802B5"/>
    <w:rsid w:val="00E80984"/>
    <w:rsid w:val="00E84D25"/>
    <w:rsid w:val="00E90289"/>
    <w:rsid w:val="00E942E9"/>
    <w:rsid w:val="00ED614A"/>
    <w:rsid w:val="00ED78BA"/>
    <w:rsid w:val="00EE1277"/>
    <w:rsid w:val="00EF619E"/>
    <w:rsid w:val="00F033F5"/>
    <w:rsid w:val="00F14998"/>
    <w:rsid w:val="00F15E2A"/>
    <w:rsid w:val="00F30A52"/>
    <w:rsid w:val="00F4013B"/>
    <w:rsid w:val="00F52454"/>
    <w:rsid w:val="00F549F7"/>
    <w:rsid w:val="00F55019"/>
    <w:rsid w:val="00F6195C"/>
    <w:rsid w:val="00F62EBC"/>
    <w:rsid w:val="00F7073A"/>
    <w:rsid w:val="00F75E1C"/>
    <w:rsid w:val="00F80A99"/>
    <w:rsid w:val="00F85065"/>
    <w:rsid w:val="00F930CD"/>
    <w:rsid w:val="00FA4AD5"/>
    <w:rsid w:val="00FB0A42"/>
    <w:rsid w:val="00FB344C"/>
    <w:rsid w:val="00FB5214"/>
    <w:rsid w:val="00FC13A5"/>
    <w:rsid w:val="00FC191D"/>
    <w:rsid w:val="00FC4AC3"/>
    <w:rsid w:val="00FC7826"/>
    <w:rsid w:val="00FD0FFB"/>
    <w:rsid w:val="00FE3FAB"/>
    <w:rsid w:val="00FE681A"/>
    <w:rsid w:val="00FF32CA"/>
    <w:rsid w:val="00FF3947"/>
    <w:rsid w:val="00FF68C0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  <w14:docId w14:val="76221998"/>
  <w15:chartTrackingRefBased/>
  <w15:docId w15:val="{0C300294-A152-451F-AFE8-FC5E8779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556"/>
    <w:pPr>
      <w:jc w:val="both"/>
    </w:pPr>
    <w:rPr>
      <w:rFonts w:ascii="Corbel" w:hAnsi="Corbel"/>
    </w:rPr>
  </w:style>
  <w:style w:type="paragraph" w:styleId="Ttulo1">
    <w:name w:val="heading 1"/>
    <w:basedOn w:val="Normal"/>
    <w:next w:val="Normal"/>
    <w:link w:val="Ttulo1Car"/>
    <w:uiPriority w:val="9"/>
    <w:qFormat/>
    <w:rsid w:val="001A75BE"/>
    <w:pPr>
      <w:keepNext/>
      <w:keepLines/>
      <w:spacing w:before="400" w:after="40" w:line="240" w:lineRule="auto"/>
      <w:jc w:val="center"/>
      <w:outlineLvl w:val="0"/>
    </w:pPr>
    <w:rPr>
      <w:rFonts w:eastAsiaTheme="majorEastAsia" w:cstheme="majorBidi"/>
      <w:b/>
      <w:caps/>
      <w:color w:val="1E5155" w:themeColor="text2"/>
      <w:sz w:val="32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5B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caps/>
      <w:color w:val="1E5155" w:themeColor="text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75BE"/>
    <w:pPr>
      <w:keepNext/>
      <w:keepLines/>
      <w:spacing w:before="240" w:after="120" w:line="240" w:lineRule="auto"/>
      <w:outlineLvl w:val="2"/>
    </w:pPr>
    <w:rPr>
      <w:rFonts w:eastAsiaTheme="majorEastAsia" w:cstheme="majorBidi"/>
      <w:smallCaps/>
      <w:color w:val="1E5155" w:themeColor="text2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D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D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D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D4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D4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D4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2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7BC"/>
  </w:style>
  <w:style w:type="paragraph" w:styleId="Piedepgina">
    <w:name w:val="footer"/>
    <w:basedOn w:val="Normal"/>
    <w:link w:val="PiedepginaCar"/>
    <w:uiPriority w:val="99"/>
    <w:unhideWhenUsed/>
    <w:rsid w:val="00E02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7BC"/>
  </w:style>
  <w:style w:type="table" w:styleId="Tablaconcuadrcula">
    <w:name w:val="Table Grid"/>
    <w:basedOn w:val="Tablanormal"/>
    <w:uiPriority w:val="39"/>
    <w:rsid w:val="00E02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27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6A3D42"/>
    <w:rPr>
      <w:i/>
      <w:iCs/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9"/>
    <w:rsid w:val="001A75BE"/>
    <w:rPr>
      <w:rFonts w:ascii="Corbel" w:eastAsiaTheme="majorEastAsia" w:hAnsi="Corbel" w:cstheme="majorBidi"/>
      <w:b/>
      <w:caps/>
      <w:color w:val="1E5155" w:themeColor="text2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A75BE"/>
    <w:rPr>
      <w:rFonts w:ascii="Corbel" w:eastAsiaTheme="majorEastAsia" w:hAnsi="Corbel" w:cstheme="majorBidi"/>
      <w:b/>
      <w:caps/>
      <w:color w:val="1E5155" w:themeColor="text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A75BE"/>
    <w:rPr>
      <w:rFonts w:ascii="Corbel" w:eastAsiaTheme="majorEastAsia" w:hAnsi="Corbel" w:cstheme="majorBidi"/>
      <w:smallCaps/>
      <w:color w:val="1E5155" w:themeColor="text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D42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D42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D4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D4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D4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D4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3D42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6A3D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D4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D4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3D4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A3D42"/>
    <w:rPr>
      <w:b/>
      <w:bCs/>
    </w:rPr>
  </w:style>
  <w:style w:type="character" w:styleId="nfasis">
    <w:name w:val="Emphasis"/>
    <w:basedOn w:val="Fuentedeprrafopredeter"/>
    <w:uiPriority w:val="20"/>
    <w:qFormat/>
    <w:rsid w:val="006A3D42"/>
    <w:rPr>
      <w:i/>
      <w:iCs/>
    </w:rPr>
  </w:style>
  <w:style w:type="paragraph" w:styleId="Sinespaciado">
    <w:name w:val="No Spacing"/>
    <w:uiPriority w:val="1"/>
    <w:qFormat/>
    <w:rsid w:val="006A3D4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3D4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6A3D42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D4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D42"/>
    <w:rPr>
      <w:color w:val="404040" w:themeColor="text1" w:themeTint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6A3D4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A3D4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3D4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6A3D42"/>
    <w:rPr>
      <w:b/>
      <w:bCs/>
      <w:smallCaps/>
      <w:spacing w:val="7"/>
    </w:rPr>
  </w:style>
  <w:style w:type="paragraph" w:styleId="TtulodeTDC">
    <w:name w:val="TOC Heading"/>
    <w:basedOn w:val="Ttulo1"/>
    <w:next w:val="Normal"/>
    <w:uiPriority w:val="39"/>
    <w:unhideWhenUsed/>
    <w:qFormat/>
    <w:rsid w:val="006A3D42"/>
    <w:pPr>
      <w:outlineLvl w:val="9"/>
    </w:pPr>
  </w:style>
  <w:style w:type="paragraph" w:styleId="Prrafodelista">
    <w:name w:val="List Paragraph"/>
    <w:basedOn w:val="Normal"/>
    <w:uiPriority w:val="1"/>
    <w:qFormat/>
    <w:rsid w:val="00FC191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B56D7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02DDC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6687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6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77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8155F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BB42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2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248"/>
    <w:rPr>
      <w:rFonts w:ascii="Verdana" w:hAnsi="Verdan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2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248"/>
    <w:rPr>
      <w:rFonts w:ascii="Verdana" w:hAnsi="Verdana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B344C"/>
    <w:rPr>
      <w:color w:val="9DFFCB" w:themeColor="followedHyperlink"/>
      <w:u w:val="single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6262F7"/>
    <w:pPr>
      <w:spacing w:after="0" w:line="240" w:lineRule="auto"/>
    </w:pPr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262F7"/>
    <w:pPr>
      <w:spacing w:after="0" w:line="240" w:lineRule="auto"/>
    </w:pPr>
    <w:rPr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91C9C-74AA-4362-AB39-76B2C09E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15629</TotalTime>
  <Pages>10</Pages>
  <Words>2506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 - Escribiente de Circuito</dc:creator>
  <cp:keywords/>
  <dc:description/>
  <cp:lastModifiedBy>CSCF - Escribiente de Circuito</cp:lastModifiedBy>
  <cp:revision>248</cp:revision>
  <cp:lastPrinted>2018-09-11T21:50:00Z</cp:lastPrinted>
  <dcterms:created xsi:type="dcterms:W3CDTF">2018-02-19T15:37:00Z</dcterms:created>
  <dcterms:modified xsi:type="dcterms:W3CDTF">2019-10-25T16:49:00Z</dcterms:modified>
</cp:coreProperties>
</file>