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8F" w:rsidRDefault="00F1748F" w:rsidP="005644C5">
      <w:pPr>
        <w:spacing w:after="0" w:line="240" w:lineRule="auto"/>
        <w:jc w:val="center"/>
        <w:rPr>
          <w:rFonts w:ascii="Arial" w:eastAsia="Times New Roman" w:hAnsi="Arial" w:cs="Times New Roman"/>
          <w:b/>
          <w:sz w:val="24"/>
          <w:szCs w:val="24"/>
          <w:lang w:val="es-MX" w:eastAsia="es-ES"/>
        </w:rPr>
      </w:pPr>
      <w:bookmarkStart w:id="0" w:name="_GoBack"/>
      <w:bookmarkEnd w:id="0"/>
      <w:r w:rsidRPr="00B73079">
        <w:rPr>
          <w:rFonts w:ascii="Arial" w:eastAsia="Times New Roman" w:hAnsi="Arial" w:cs="Times New Roman"/>
          <w:b/>
          <w:sz w:val="24"/>
          <w:szCs w:val="24"/>
          <w:lang w:val="es-MX" w:eastAsia="es-ES"/>
        </w:rPr>
        <w:t>RAMA JUDICIAL</w:t>
      </w:r>
      <w:r w:rsidR="005644C5">
        <w:rPr>
          <w:rFonts w:ascii="Arial" w:eastAsia="Times New Roman" w:hAnsi="Arial" w:cs="Times New Roman"/>
          <w:b/>
          <w:sz w:val="24"/>
          <w:szCs w:val="24"/>
          <w:lang w:val="es-MX" w:eastAsia="es-ES"/>
        </w:rPr>
        <w:t xml:space="preserve"> DEL PODER PÚBLICO</w:t>
      </w:r>
    </w:p>
    <w:p w:rsidR="0054585C" w:rsidRPr="00B73079" w:rsidRDefault="0054585C" w:rsidP="005644C5">
      <w:pPr>
        <w:spacing w:after="0" w:line="240" w:lineRule="auto"/>
        <w:jc w:val="center"/>
        <w:rPr>
          <w:rFonts w:ascii="Arial" w:eastAsia="Times New Roman" w:hAnsi="Arial" w:cs="Times New Roman"/>
          <w:b/>
          <w:sz w:val="24"/>
          <w:szCs w:val="24"/>
          <w:lang w:val="es-MX" w:eastAsia="es-ES"/>
        </w:rPr>
      </w:pPr>
      <w:r>
        <w:rPr>
          <w:rFonts w:ascii="Arial" w:eastAsia="Times New Roman" w:hAnsi="Arial" w:cs="Times New Roman"/>
          <w:b/>
          <w:sz w:val="24"/>
          <w:szCs w:val="24"/>
          <w:lang w:val="es-MX" w:eastAsia="es-ES"/>
        </w:rPr>
        <w:t>PALCIO DE JUSTICIA “Fanny González Franco”</w:t>
      </w:r>
    </w:p>
    <w:p w:rsidR="00F1748F" w:rsidRPr="00B73079" w:rsidRDefault="00F1748F" w:rsidP="005644C5">
      <w:pPr>
        <w:spacing w:after="0" w:line="240" w:lineRule="auto"/>
        <w:jc w:val="center"/>
        <w:rPr>
          <w:rFonts w:ascii="Arial" w:eastAsia="Times New Roman" w:hAnsi="Arial" w:cs="Times New Roman"/>
          <w:b/>
          <w:sz w:val="24"/>
          <w:szCs w:val="24"/>
          <w:lang w:val="es-MX" w:eastAsia="es-ES"/>
        </w:rPr>
      </w:pPr>
      <w:r w:rsidRPr="00B73079">
        <w:rPr>
          <w:rFonts w:ascii="Arial" w:eastAsia="Times New Roman" w:hAnsi="Arial" w:cs="Times New Roman"/>
          <w:b/>
          <w:sz w:val="24"/>
          <w:szCs w:val="24"/>
          <w:lang w:val="es-MX" w:eastAsia="es-ES"/>
        </w:rPr>
        <w:t xml:space="preserve">CENTRO DE SERVICIOS </w:t>
      </w:r>
      <w:r w:rsidR="008C3F38">
        <w:rPr>
          <w:rFonts w:ascii="Arial" w:eastAsia="Times New Roman" w:hAnsi="Arial" w:cs="Times New Roman"/>
          <w:b/>
          <w:sz w:val="24"/>
          <w:szCs w:val="24"/>
          <w:lang w:val="es-MX" w:eastAsia="es-ES"/>
        </w:rPr>
        <w:t xml:space="preserve">- </w:t>
      </w:r>
      <w:r w:rsidR="005644C5">
        <w:rPr>
          <w:rFonts w:ascii="Arial" w:eastAsia="Times New Roman" w:hAnsi="Arial" w:cs="Times New Roman"/>
          <w:b/>
          <w:sz w:val="24"/>
          <w:szCs w:val="24"/>
          <w:lang w:val="es-MX" w:eastAsia="es-ES"/>
        </w:rPr>
        <w:t>AREA DE TRABAJO SOCIAL</w:t>
      </w:r>
    </w:p>
    <w:p w:rsidR="00F1748F" w:rsidRPr="00E33B5C" w:rsidRDefault="00F1748F" w:rsidP="005644C5">
      <w:pPr>
        <w:pStyle w:val="Textoindependiente"/>
        <w:jc w:val="center"/>
        <w:rPr>
          <w:b/>
          <w:lang w:val="es-MX"/>
        </w:rPr>
      </w:pPr>
    </w:p>
    <w:p w:rsidR="00F1748F" w:rsidRDefault="00F1748F" w:rsidP="005644C5">
      <w:pPr>
        <w:ind w:left="4956"/>
        <w:jc w:val="center"/>
        <w:rPr>
          <w:rFonts w:ascii="Arial" w:hAnsi="Arial"/>
          <w:sz w:val="24"/>
        </w:rPr>
      </w:pPr>
      <w:r>
        <w:rPr>
          <w:rFonts w:ascii="Arial" w:hAnsi="Arial"/>
          <w:b/>
          <w:lang w:val="es-MX"/>
        </w:rPr>
        <w:tab/>
      </w:r>
    </w:p>
    <w:p w:rsidR="00F1748F" w:rsidRPr="00E33B5C" w:rsidRDefault="00F1748F" w:rsidP="00F1748F">
      <w:pPr>
        <w:tabs>
          <w:tab w:val="left" w:pos="5160"/>
        </w:tabs>
        <w:rPr>
          <w:rFonts w:ascii="Arial" w:hAnsi="Arial"/>
          <w:b/>
          <w:lang w:val="es-MX"/>
        </w:rPr>
      </w:pPr>
    </w:p>
    <w:p w:rsidR="00F1748F" w:rsidRPr="00E33B5C" w:rsidRDefault="00F1748F" w:rsidP="00F1748F">
      <w:pPr>
        <w:rPr>
          <w:rFonts w:ascii="Arial" w:hAnsi="Arial"/>
          <w:b/>
          <w:lang w:val="es-MX"/>
        </w:rPr>
      </w:pPr>
      <w:r w:rsidRPr="00E33B5C">
        <w:rPr>
          <w:rFonts w:ascii="Arial" w:hAnsi="Arial"/>
          <w:b/>
          <w:lang w:val="es-MX"/>
        </w:rPr>
        <w:t xml:space="preserve">FECHA: </w:t>
      </w:r>
      <w:r w:rsidRPr="00E33B5C">
        <w:rPr>
          <w:rFonts w:ascii="Arial" w:hAnsi="Arial"/>
          <w:b/>
          <w:lang w:val="es-MX"/>
        </w:rPr>
        <w:tab/>
      </w:r>
      <w:r w:rsidRPr="00E33B5C">
        <w:rPr>
          <w:rFonts w:ascii="Arial" w:hAnsi="Arial"/>
          <w:b/>
          <w:lang w:val="es-MX"/>
        </w:rPr>
        <w:tab/>
      </w:r>
      <w:r w:rsidR="008C3F38">
        <w:rPr>
          <w:rFonts w:ascii="Arial" w:hAnsi="Arial"/>
          <w:b/>
          <w:lang w:val="es-MX"/>
        </w:rPr>
        <w:t>1</w:t>
      </w:r>
      <w:r w:rsidR="000B5DB3">
        <w:rPr>
          <w:rFonts w:ascii="Arial" w:hAnsi="Arial"/>
          <w:b/>
          <w:lang w:val="es-MX"/>
        </w:rPr>
        <w:t>3</w:t>
      </w:r>
      <w:r w:rsidR="008C3F38">
        <w:rPr>
          <w:rFonts w:ascii="Arial" w:hAnsi="Arial"/>
          <w:b/>
          <w:lang w:val="es-MX"/>
        </w:rPr>
        <w:t xml:space="preserve"> de mayo de 2019</w:t>
      </w:r>
    </w:p>
    <w:p w:rsidR="00F1748F" w:rsidRPr="008C3F38" w:rsidRDefault="00F1748F" w:rsidP="00F1748F">
      <w:pPr>
        <w:ind w:left="2130" w:hanging="2130"/>
        <w:rPr>
          <w:rFonts w:ascii="Arial" w:hAnsi="Arial"/>
          <w:b/>
        </w:rPr>
      </w:pPr>
      <w:r w:rsidRPr="008C3F38">
        <w:rPr>
          <w:rFonts w:ascii="Arial" w:hAnsi="Arial"/>
          <w:b/>
        </w:rPr>
        <w:t>PROCESO:</w:t>
      </w:r>
      <w:r w:rsidRPr="008C3F38">
        <w:rPr>
          <w:rFonts w:ascii="Arial" w:hAnsi="Arial"/>
          <w:b/>
        </w:rPr>
        <w:tab/>
      </w:r>
      <w:r w:rsidR="008C3F38" w:rsidRPr="008C3F38">
        <w:rPr>
          <w:rFonts w:ascii="Arial" w:hAnsi="Arial"/>
          <w:b/>
        </w:rPr>
        <w:t>ACCION DE TUTELA</w:t>
      </w:r>
    </w:p>
    <w:p w:rsidR="00F1748F" w:rsidRPr="00E33B5C" w:rsidRDefault="00F1748F" w:rsidP="00F1748F">
      <w:pPr>
        <w:ind w:left="2130" w:hanging="2130"/>
        <w:rPr>
          <w:rFonts w:ascii="Arial" w:hAnsi="Arial"/>
          <w:b/>
        </w:rPr>
      </w:pPr>
      <w:r w:rsidRPr="00E33B5C">
        <w:rPr>
          <w:rFonts w:ascii="Arial" w:hAnsi="Arial"/>
          <w:b/>
        </w:rPr>
        <w:t>JUZGADO:</w:t>
      </w:r>
      <w:r w:rsidRPr="00E33B5C">
        <w:rPr>
          <w:rFonts w:ascii="Arial" w:hAnsi="Arial"/>
          <w:b/>
        </w:rPr>
        <w:tab/>
      </w:r>
      <w:r w:rsidR="008C3F38">
        <w:rPr>
          <w:rFonts w:ascii="Arial" w:hAnsi="Arial"/>
          <w:b/>
        </w:rPr>
        <w:t>6</w:t>
      </w:r>
      <w:r w:rsidRPr="00E33B5C">
        <w:rPr>
          <w:rFonts w:ascii="Arial" w:hAnsi="Arial"/>
          <w:b/>
        </w:rPr>
        <w:t>º DE FAMILIA</w:t>
      </w:r>
    </w:p>
    <w:p w:rsidR="00F1748F" w:rsidRDefault="00F1748F" w:rsidP="00F1748F">
      <w:pPr>
        <w:rPr>
          <w:rFonts w:ascii="Arial" w:hAnsi="Arial"/>
          <w:b/>
        </w:rPr>
      </w:pPr>
      <w:r w:rsidRPr="00E33B5C">
        <w:rPr>
          <w:rFonts w:ascii="Arial" w:hAnsi="Arial"/>
          <w:b/>
        </w:rPr>
        <w:t>RADICADO:</w:t>
      </w:r>
      <w:r w:rsidRPr="00E33B5C">
        <w:rPr>
          <w:rFonts w:ascii="Arial" w:hAnsi="Arial"/>
          <w:b/>
        </w:rPr>
        <w:tab/>
      </w:r>
      <w:r w:rsidRPr="00E33B5C">
        <w:rPr>
          <w:rFonts w:ascii="Arial" w:hAnsi="Arial"/>
          <w:b/>
        </w:rPr>
        <w:tab/>
      </w:r>
      <w:r>
        <w:rPr>
          <w:rFonts w:ascii="Arial" w:hAnsi="Arial"/>
          <w:b/>
        </w:rPr>
        <w:t>00</w:t>
      </w:r>
      <w:r w:rsidR="008C3F38">
        <w:rPr>
          <w:rFonts w:ascii="Arial" w:hAnsi="Arial"/>
          <w:b/>
        </w:rPr>
        <w:t>173</w:t>
      </w:r>
      <w:r w:rsidR="0054585C">
        <w:rPr>
          <w:rFonts w:ascii="Arial" w:hAnsi="Arial"/>
          <w:b/>
        </w:rPr>
        <w:t xml:space="preserve"> </w:t>
      </w:r>
      <w:r w:rsidR="00840D7D">
        <w:rPr>
          <w:rFonts w:ascii="Arial" w:hAnsi="Arial"/>
          <w:b/>
        </w:rPr>
        <w:t>–</w:t>
      </w:r>
      <w:r w:rsidR="0054585C">
        <w:rPr>
          <w:rFonts w:ascii="Arial" w:hAnsi="Arial"/>
          <w:b/>
        </w:rPr>
        <w:t xml:space="preserve"> </w:t>
      </w:r>
      <w:r>
        <w:rPr>
          <w:rFonts w:ascii="Arial" w:hAnsi="Arial"/>
          <w:b/>
        </w:rPr>
        <w:t>201</w:t>
      </w:r>
      <w:r w:rsidR="008C3F38">
        <w:rPr>
          <w:rFonts w:ascii="Arial" w:hAnsi="Arial"/>
          <w:b/>
        </w:rPr>
        <w:t>9</w:t>
      </w:r>
    </w:p>
    <w:p w:rsidR="008C3F38" w:rsidRDefault="008C3F38" w:rsidP="00F1748F">
      <w:pPr>
        <w:rPr>
          <w:rFonts w:ascii="Arial" w:hAnsi="Arial"/>
          <w:b/>
        </w:rPr>
      </w:pPr>
      <w:r>
        <w:rPr>
          <w:rFonts w:ascii="Arial" w:hAnsi="Arial"/>
          <w:b/>
        </w:rPr>
        <w:t>ACCINONANTES:</w:t>
      </w:r>
      <w:r>
        <w:rPr>
          <w:rFonts w:ascii="Arial" w:hAnsi="Arial"/>
          <w:b/>
        </w:rPr>
        <w:tab/>
        <w:t>JAIME HERMIDES CASTELLANOS MARTINEZ</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ROSA IRENE DUARTE TRIVIÑO</w:t>
      </w:r>
    </w:p>
    <w:p w:rsidR="008C3F38" w:rsidRDefault="008C3F38" w:rsidP="00F1748F">
      <w:pPr>
        <w:rPr>
          <w:rFonts w:ascii="Arial" w:hAnsi="Arial"/>
          <w:b/>
        </w:rPr>
      </w:pPr>
      <w:r>
        <w:rPr>
          <w:rFonts w:ascii="Arial" w:hAnsi="Arial"/>
          <w:b/>
        </w:rPr>
        <w:t xml:space="preserve">DIRECCION: </w:t>
      </w:r>
      <w:r>
        <w:rPr>
          <w:rFonts w:ascii="Arial" w:hAnsi="Arial"/>
          <w:b/>
        </w:rPr>
        <w:tab/>
      </w:r>
      <w:r>
        <w:rPr>
          <w:rFonts w:ascii="Arial" w:hAnsi="Arial"/>
          <w:b/>
        </w:rPr>
        <w:tab/>
        <w:t xml:space="preserve">Carrera 11D Nº 47B </w:t>
      </w:r>
      <w:r w:rsidR="00E625FD">
        <w:rPr>
          <w:rFonts w:ascii="Arial" w:hAnsi="Arial"/>
          <w:b/>
        </w:rPr>
        <w:t>–</w:t>
      </w:r>
      <w:r>
        <w:rPr>
          <w:rFonts w:ascii="Arial" w:hAnsi="Arial"/>
          <w:b/>
        </w:rPr>
        <w:t xml:space="preserve"> 78</w:t>
      </w:r>
      <w:r w:rsidR="00E625FD">
        <w:rPr>
          <w:rFonts w:ascii="Arial" w:hAnsi="Arial"/>
          <w:b/>
        </w:rPr>
        <w:t xml:space="preserve"> Barrio El Caribe</w:t>
      </w:r>
    </w:p>
    <w:p w:rsidR="00DD2E21" w:rsidRDefault="00DD2E21" w:rsidP="00F1748F">
      <w:pPr>
        <w:rPr>
          <w:rFonts w:ascii="Arial" w:hAnsi="Arial"/>
          <w:b/>
        </w:rPr>
      </w:pPr>
      <w:r>
        <w:rPr>
          <w:rFonts w:ascii="Arial" w:hAnsi="Arial"/>
          <w:b/>
        </w:rPr>
        <w:tab/>
      </w:r>
      <w:r>
        <w:rPr>
          <w:rFonts w:ascii="Arial" w:hAnsi="Arial"/>
          <w:b/>
        </w:rPr>
        <w:tab/>
      </w:r>
      <w:r>
        <w:rPr>
          <w:rFonts w:ascii="Arial" w:hAnsi="Arial"/>
          <w:b/>
        </w:rPr>
        <w:tab/>
        <w:t>8909964 - 3117703456</w:t>
      </w:r>
    </w:p>
    <w:p w:rsidR="008C3F38" w:rsidRPr="00E33B5C" w:rsidRDefault="008C3F38" w:rsidP="00F1748F">
      <w:pPr>
        <w:rPr>
          <w:rFonts w:ascii="Arial" w:hAnsi="Arial"/>
          <w:b/>
        </w:rPr>
      </w:pPr>
      <w:r>
        <w:rPr>
          <w:rFonts w:ascii="Arial" w:hAnsi="Arial"/>
          <w:b/>
        </w:rPr>
        <w:t>APODERADO:          DR. OSCAR TABARES GIL</w:t>
      </w:r>
    </w:p>
    <w:p w:rsidR="00F1748F" w:rsidRDefault="008C3F38" w:rsidP="00F1748F">
      <w:pPr>
        <w:rPr>
          <w:rFonts w:ascii="Arial" w:hAnsi="Arial"/>
          <w:b/>
        </w:rPr>
      </w:pPr>
      <w:r>
        <w:rPr>
          <w:rFonts w:ascii="Arial" w:hAnsi="Arial"/>
          <w:b/>
        </w:rPr>
        <w:t>ACCIONADO</w:t>
      </w:r>
      <w:r w:rsidR="00F1748F">
        <w:rPr>
          <w:rFonts w:ascii="Arial" w:hAnsi="Arial"/>
          <w:b/>
        </w:rPr>
        <w:t>:</w:t>
      </w:r>
      <w:r w:rsidR="00F1748F">
        <w:rPr>
          <w:rFonts w:ascii="Arial" w:hAnsi="Arial"/>
          <w:b/>
        </w:rPr>
        <w:tab/>
      </w:r>
      <w:r>
        <w:rPr>
          <w:rFonts w:ascii="Arial" w:hAnsi="Arial"/>
          <w:b/>
        </w:rPr>
        <w:t>MINISTERIO DE DEFENSA NACIONAL</w:t>
      </w:r>
      <w:r w:rsidR="00F1748F">
        <w:rPr>
          <w:rFonts w:ascii="Arial" w:hAnsi="Arial"/>
          <w:b/>
        </w:rPr>
        <w:tab/>
      </w:r>
    </w:p>
    <w:p w:rsidR="00F1748F" w:rsidRDefault="00842DC2" w:rsidP="00F1748F">
      <w:pPr>
        <w:rPr>
          <w:rFonts w:ascii="Arial" w:hAnsi="Arial"/>
          <w:b/>
        </w:rPr>
      </w:pPr>
      <w:r>
        <w:rPr>
          <w:rFonts w:ascii="Arial" w:hAnsi="Arial"/>
          <w:b/>
        </w:rPr>
        <w:t>INFORMANTE:</w:t>
      </w:r>
      <w:r>
        <w:rPr>
          <w:rFonts w:ascii="Arial" w:hAnsi="Arial"/>
          <w:b/>
        </w:rPr>
        <w:tab/>
        <w:t>ROSA IRENE DUARTE</w:t>
      </w:r>
      <w:r w:rsidR="00DD2E21">
        <w:rPr>
          <w:rFonts w:ascii="Arial" w:hAnsi="Arial"/>
          <w:b/>
        </w:rPr>
        <w:t xml:space="preserve"> TRIVIÑO</w:t>
      </w:r>
    </w:p>
    <w:p w:rsidR="00842DC2" w:rsidRDefault="00842DC2" w:rsidP="00F1748F">
      <w:pPr>
        <w:jc w:val="both"/>
        <w:rPr>
          <w:rFonts w:ascii="Arial" w:hAnsi="Arial"/>
          <w:b/>
          <w:sz w:val="24"/>
          <w:szCs w:val="24"/>
        </w:rPr>
      </w:pPr>
    </w:p>
    <w:p w:rsidR="00842DC2" w:rsidRDefault="00842DC2" w:rsidP="00F1748F">
      <w:pPr>
        <w:jc w:val="both"/>
        <w:rPr>
          <w:rFonts w:ascii="Arial" w:hAnsi="Arial"/>
          <w:b/>
        </w:rPr>
      </w:pPr>
      <w:r w:rsidRPr="00842DC2">
        <w:rPr>
          <w:rFonts w:ascii="Arial" w:hAnsi="Arial"/>
          <w:b/>
          <w:sz w:val="24"/>
          <w:szCs w:val="24"/>
        </w:rPr>
        <w:t>O</w:t>
      </w:r>
      <w:r w:rsidR="00F1748F" w:rsidRPr="00842DC2">
        <w:rPr>
          <w:rFonts w:ascii="Arial" w:hAnsi="Arial"/>
          <w:b/>
          <w:sz w:val="24"/>
          <w:szCs w:val="24"/>
        </w:rPr>
        <w:t>BJETIVO</w:t>
      </w:r>
      <w:r w:rsidR="00F1748F" w:rsidRPr="00E33B5C">
        <w:rPr>
          <w:rFonts w:ascii="Arial" w:hAnsi="Arial"/>
          <w:b/>
        </w:rPr>
        <w:t>:</w:t>
      </w:r>
    </w:p>
    <w:p w:rsidR="00840D7D" w:rsidRPr="00842DC2" w:rsidRDefault="004A56E1" w:rsidP="00F1748F">
      <w:pPr>
        <w:jc w:val="both"/>
        <w:rPr>
          <w:rFonts w:ascii="Arial" w:hAnsi="Arial" w:cs="Arial"/>
          <w:sz w:val="24"/>
          <w:szCs w:val="24"/>
        </w:rPr>
      </w:pPr>
      <w:r w:rsidRPr="00842DC2">
        <w:rPr>
          <w:rFonts w:ascii="Arial" w:hAnsi="Arial"/>
        </w:rPr>
        <w:t xml:space="preserve">Verificar </w:t>
      </w:r>
      <w:r w:rsidR="00D6769C" w:rsidRPr="00842DC2">
        <w:rPr>
          <w:rFonts w:ascii="Arial" w:hAnsi="Arial" w:cs="Arial"/>
          <w:sz w:val="24"/>
          <w:szCs w:val="24"/>
        </w:rPr>
        <w:t xml:space="preserve"> </w:t>
      </w:r>
      <w:r w:rsidRPr="00842DC2">
        <w:rPr>
          <w:rFonts w:ascii="Arial" w:hAnsi="Arial" w:cs="Arial"/>
          <w:sz w:val="24"/>
          <w:szCs w:val="24"/>
        </w:rPr>
        <w:t>la situación personal, social, económica, familiar, habitacional, salud y demás, de quienes conforman su núcleo</w:t>
      </w:r>
      <w:r w:rsidR="009603E2" w:rsidRPr="00842DC2">
        <w:rPr>
          <w:rFonts w:ascii="Arial" w:hAnsi="Arial" w:cs="Arial"/>
          <w:sz w:val="24"/>
          <w:szCs w:val="24"/>
        </w:rPr>
        <w:t xml:space="preserve"> familiar</w:t>
      </w:r>
      <w:r w:rsidRPr="00842DC2">
        <w:rPr>
          <w:rFonts w:ascii="Arial" w:hAnsi="Arial" w:cs="Arial"/>
          <w:sz w:val="24"/>
          <w:szCs w:val="24"/>
        </w:rPr>
        <w:t>, con qui</w:t>
      </w:r>
      <w:r w:rsidR="009603E2" w:rsidRPr="00842DC2">
        <w:rPr>
          <w:rFonts w:ascii="Arial" w:hAnsi="Arial" w:cs="Arial"/>
          <w:sz w:val="24"/>
          <w:szCs w:val="24"/>
        </w:rPr>
        <w:t>é</w:t>
      </w:r>
      <w:r w:rsidRPr="00842DC2">
        <w:rPr>
          <w:rFonts w:ascii="Arial" w:hAnsi="Arial" w:cs="Arial"/>
          <w:sz w:val="24"/>
          <w:szCs w:val="24"/>
        </w:rPr>
        <w:t>n o qui</w:t>
      </w:r>
      <w:r w:rsidR="009603E2" w:rsidRPr="00842DC2">
        <w:rPr>
          <w:rFonts w:ascii="Arial" w:hAnsi="Arial" w:cs="Arial"/>
          <w:sz w:val="24"/>
          <w:szCs w:val="24"/>
        </w:rPr>
        <w:t>é</w:t>
      </w:r>
      <w:r w:rsidRPr="00842DC2">
        <w:rPr>
          <w:rFonts w:ascii="Arial" w:hAnsi="Arial" w:cs="Arial"/>
          <w:sz w:val="24"/>
          <w:szCs w:val="24"/>
        </w:rPr>
        <w:t>nes viven</w:t>
      </w:r>
      <w:r w:rsidR="009603E2" w:rsidRPr="00842DC2">
        <w:rPr>
          <w:rFonts w:ascii="Arial" w:hAnsi="Arial" w:cs="Arial"/>
          <w:sz w:val="24"/>
          <w:szCs w:val="24"/>
        </w:rPr>
        <w:t>, quién o quiénes proveen el sustento, de dónde perciben los ingresos para su sostenimiento, cuáles son sus gastos mensuales, personas a cargo, si son propietarios de bienes muebles o inmuebles, vehículos, establecimientos de comercio, titularidad de cuentas bancarias o servicios financieros.</w:t>
      </w:r>
      <w:r w:rsidRPr="00842DC2">
        <w:rPr>
          <w:rFonts w:ascii="Arial" w:hAnsi="Arial" w:cs="Arial"/>
          <w:sz w:val="24"/>
          <w:szCs w:val="24"/>
        </w:rPr>
        <w:t xml:space="preserve"> </w:t>
      </w:r>
    </w:p>
    <w:p w:rsidR="00842DC2" w:rsidRDefault="00F1748F" w:rsidP="00F1748F">
      <w:pPr>
        <w:jc w:val="both"/>
        <w:rPr>
          <w:rFonts w:ascii="Arial" w:hAnsi="Arial" w:cs="Arial"/>
          <w:sz w:val="24"/>
          <w:szCs w:val="24"/>
        </w:rPr>
      </w:pPr>
      <w:r w:rsidRPr="00CA54CE">
        <w:rPr>
          <w:rFonts w:ascii="Arial" w:hAnsi="Arial" w:cs="Arial"/>
          <w:b/>
          <w:sz w:val="24"/>
          <w:szCs w:val="24"/>
        </w:rPr>
        <w:t>TECNICAS UTILIZADAS</w:t>
      </w:r>
      <w:r w:rsidRPr="00DA7381">
        <w:rPr>
          <w:rFonts w:ascii="Arial" w:hAnsi="Arial" w:cs="Arial"/>
          <w:sz w:val="24"/>
          <w:szCs w:val="24"/>
        </w:rPr>
        <w:t>:</w:t>
      </w:r>
    </w:p>
    <w:p w:rsidR="00420096" w:rsidRDefault="00497A72" w:rsidP="00F1748F">
      <w:pPr>
        <w:jc w:val="both"/>
        <w:rPr>
          <w:rFonts w:ascii="Arial" w:hAnsi="Arial" w:cs="Arial"/>
          <w:sz w:val="24"/>
          <w:szCs w:val="24"/>
        </w:rPr>
      </w:pPr>
      <w:r w:rsidRPr="00DA7381">
        <w:rPr>
          <w:rFonts w:ascii="Arial" w:hAnsi="Arial" w:cs="Arial"/>
          <w:sz w:val="24"/>
          <w:szCs w:val="24"/>
        </w:rPr>
        <w:t xml:space="preserve">Visita domiciliaria </w:t>
      </w:r>
      <w:r>
        <w:rPr>
          <w:rFonts w:ascii="Arial" w:hAnsi="Arial" w:cs="Arial"/>
          <w:sz w:val="24"/>
          <w:szCs w:val="24"/>
        </w:rPr>
        <w:t>a la residencia de la señora ROSA IRENE DUARTE TRIVIÑO</w:t>
      </w:r>
      <w:r w:rsidR="00420096">
        <w:rPr>
          <w:rFonts w:ascii="Arial" w:hAnsi="Arial" w:cs="Arial"/>
          <w:sz w:val="24"/>
          <w:szCs w:val="24"/>
        </w:rPr>
        <w:t xml:space="preserve">. </w:t>
      </w:r>
    </w:p>
    <w:p w:rsidR="00497A72" w:rsidRDefault="00F1748F" w:rsidP="00F1748F">
      <w:pPr>
        <w:jc w:val="both"/>
        <w:rPr>
          <w:rFonts w:ascii="Arial" w:hAnsi="Arial" w:cs="Arial"/>
          <w:sz w:val="24"/>
          <w:szCs w:val="24"/>
        </w:rPr>
      </w:pPr>
      <w:r>
        <w:rPr>
          <w:rFonts w:ascii="Arial" w:hAnsi="Arial" w:cs="Arial"/>
          <w:sz w:val="24"/>
          <w:szCs w:val="24"/>
        </w:rPr>
        <w:t>Revisión Documental</w:t>
      </w:r>
    </w:p>
    <w:p w:rsidR="00F1748F" w:rsidRDefault="00F1748F" w:rsidP="00F1748F">
      <w:pPr>
        <w:jc w:val="both"/>
        <w:rPr>
          <w:rFonts w:ascii="Arial" w:hAnsi="Arial" w:cs="Arial"/>
          <w:sz w:val="24"/>
          <w:szCs w:val="24"/>
        </w:rPr>
      </w:pPr>
      <w:r>
        <w:rPr>
          <w:rFonts w:ascii="Arial" w:hAnsi="Arial" w:cs="Arial"/>
          <w:sz w:val="24"/>
          <w:szCs w:val="24"/>
        </w:rPr>
        <w:t xml:space="preserve"> Aplicación de Ficha Técnica</w:t>
      </w:r>
    </w:p>
    <w:p w:rsidR="00125141" w:rsidRDefault="00125141" w:rsidP="00F1748F">
      <w:pPr>
        <w:jc w:val="both"/>
        <w:rPr>
          <w:rFonts w:ascii="Arial" w:hAnsi="Arial" w:cs="Arial"/>
          <w:sz w:val="24"/>
          <w:szCs w:val="24"/>
        </w:rPr>
      </w:pPr>
      <w:r>
        <w:rPr>
          <w:rFonts w:ascii="Arial" w:hAnsi="Arial" w:cs="Arial"/>
          <w:sz w:val="24"/>
          <w:szCs w:val="24"/>
        </w:rPr>
        <w:t xml:space="preserve">Entrevista </w:t>
      </w:r>
      <w:proofErr w:type="spellStart"/>
      <w:r w:rsidR="00BA23B5">
        <w:rPr>
          <w:rFonts w:ascii="Arial" w:hAnsi="Arial" w:cs="Arial"/>
          <w:sz w:val="24"/>
          <w:szCs w:val="24"/>
        </w:rPr>
        <w:t>s</w:t>
      </w:r>
      <w:r>
        <w:rPr>
          <w:rFonts w:ascii="Arial" w:hAnsi="Arial" w:cs="Arial"/>
          <w:sz w:val="24"/>
          <w:szCs w:val="24"/>
        </w:rPr>
        <w:t>emi</w:t>
      </w:r>
      <w:proofErr w:type="spellEnd"/>
      <w:r w:rsidR="00BA23B5">
        <w:rPr>
          <w:rFonts w:ascii="Arial" w:hAnsi="Arial" w:cs="Arial"/>
          <w:sz w:val="24"/>
          <w:szCs w:val="24"/>
        </w:rPr>
        <w:t xml:space="preserve"> </w:t>
      </w:r>
      <w:r>
        <w:rPr>
          <w:rFonts w:ascii="Arial" w:hAnsi="Arial" w:cs="Arial"/>
          <w:sz w:val="24"/>
          <w:szCs w:val="24"/>
        </w:rPr>
        <w:t>-</w:t>
      </w:r>
      <w:r w:rsidR="00BA23B5">
        <w:rPr>
          <w:rFonts w:ascii="Arial" w:hAnsi="Arial" w:cs="Arial"/>
          <w:sz w:val="24"/>
          <w:szCs w:val="24"/>
        </w:rPr>
        <w:t xml:space="preserve"> </w:t>
      </w:r>
      <w:r>
        <w:rPr>
          <w:rFonts w:ascii="Arial" w:hAnsi="Arial" w:cs="Arial"/>
          <w:sz w:val="24"/>
          <w:szCs w:val="24"/>
        </w:rPr>
        <w:t>estructurada</w:t>
      </w:r>
    </w:p>
    <w:p w:rsidR="00420096" w:rsidRDefault="00F1748F" w:rsidP="00F1748F">
      <w:pPr>
        <w:jc w:val="both"/>
        <w:rPr>
          <w:rFonts w:ascii="Arial" w:hAnsi="Arial" w:cs="Arial"/>
          <w:b/>
          <w:sz w:val="24"/>
          <w:szCs w:val="24"/>
        </w:rPr>
      </w:pPr>
      <w:r w:rsidRPr="00DA7381">
        <w:rPr>
          <w:rFonts w:ascii="Arial" w:hAnsi="Arial" w:cs="Arial"/>
          <w:b/>
          <w:sz w:val="24"/>
          <w:szCs w:val="24"/>
        </w:rPr>
        <w:t>METODOLOGÍA:</w:t>
      </w:r>
    </w:p>
    <w:p w:rsidR="00F1748F" w:rsidRDefault="00F1748F" w:rsidP="00F1748F">
      <w:pPr>
        <w:jc w:val="both"/>
        <w:rPr>
          <w:rFonts w:ascii="Arial" w:hAnsi="Arial" w:cs="Arial"/>
          <w:sz w:val="24"/>
          <w:szCs w:val="24"/>
        </w:rPr>
      </w:pPr>
      <w:r w:rsidRPr="00DA7381">
        <w:rPr>
          <w:rFonts w:ascii="Arial" w:hAnsi="Arial" w:cs="Arial"/>
          <w:sz w:val="24"/>
          <w:szCs w:val="24"/>
        </w:rPr>
        <w:t>Lectura del expediente, valoración del contenido, pre</w:t>
      </w:r>
      <w:r w:rsidR="00C15674">
        <w:rPr>
          <w:rFonts w:ascii="Arial" w:hAnsi="Arial" w:cs="Arial"/>
          <w:sz w:val="24"/>
          <w:szCs w:val="24"/>
        </w:rPr>
        <w:t>-</w:t>
      </w:r>
      <w:r w:rsidRPr="00DA7381">
        <w:rPr>
          <w:rFonts w:ascii="Arial" w:hAnsi="Arial" w:cs="Arial"/>
          <w:sz w:val="24"/>
          <w:szCs w:val="24"/>
        </w:rPr>
        <w:t xml:space="preserve">diagnóstico, </w:t>
      </w:r>
      <w:r>
        <w:rPr>
          <w:rFonts w:ascii="Arial" w:hAnsi="Arial" w:cs="Arial"/>
          <w:sz w:val="24"/>
          <w:szCs w:val="24"/>
        </w:rPr>
        <w:t xml:space="preserve">observación directa, </w:t>
      </w:r>
      <w:r w:rsidRPr="00DA7381">
        <w:rPr>
          <w:rFonts w:ascii="Arial" w:hAnsi="Arial" w:cs="Arial"/>
          <w:sz w:val="24"/>
          <w:szCs w:val="24"/>
        </w:rPr>
        <w:t>entrevista con aplicación de protocolo, preguntas abiertas y cerradas enfocadas a establecer las condiciones familiares y de toda índole que rodean a</w:t>
      </w:r>
      <w:r w:rsidR="00497A72">
        <w:rPr>
          <w:rFonts w:ascii="Arial" w:hAnsi="Arial" w:cs="Arial"/>
          <w:sz w:val="24"/>
          <w:szCs w:val="24"/>
        </w:rPr>
        <w:t xml:space="preserve">  los accionantes.</w:t>
      </w:r>
    </w:p>
    <w:p w:rsidR="00F1748F" w:rsidRPr="00DA7381" w:rsidRDefault="00F1748F" w:rsidP="00F1748F">
      <w:pPr>
        <w:jc w:val="both"/>
        <w:rPr>
          <w:rFonts w:ascii="Arial" w:hAnsi="Arial" w:cs="Arial"/>
          <w:sz w:val="24"/>
          <w:szCs w:val="24"/>
        </w:rPr>
      </w:pPr>
      <w:r w:rsidRPr="00DA7381">
        <w:rPr>
          <w:rFonts w:ascii="Arial" w:hAnsi="Arial" w:cs="Arial"/>
          <w:sz w:val="24"/>
          <w:szCs w:val="24"/>
          <w:lang w:val="es-CO"/>
        </w:rPr>
        <w:t xml:space="preserve">Dando cumplimiento a lo solicitado por su despacho mediante </w:t>
      </w:r>
      <w:r>
        <w:rPr>
          <w:rFonts w:ascii="Arial" w:hAnsi="Arial" w:cs="Arial"/>
          <w:sz w:val="24"/>
          <w:szCs w:val="24"/>
          <w:lang w:val="es-CO"/>
        </w:rPr>
        <w:t xml:space="preserve">auto de </w:t>
      </w:r>
      <w:r w:rsidR="001E7513">
        <w:rPr>
          <w:rFonts w:ascii="Arial" w:hAnsi="Arial" w:cs="Arial"/>
          <w:sz w:val="24"/>
          <w:szCs w:val="24"/>
          <w:lang w:val="es-CO"/>
        </w:rPr>
        <w:t>7</w:t>
      </w:r>
      <w:r>
        <w:rPr>
          <w:rFonts w:ascii="Arial" w:hAnsi="Arial" w:cs="Arial"/>
          <w:sz w:val="24"/>
          <w:szCs w:val="24"/>
          <w:lang w:val="es-CO"/>
        </w:rPr>
        <w:t xml:space="preserve"> de </w:t>
      </w:r>
      <w:r w:rsidR="001E7513">
        <w:rPr>
          <w:rFonts w:ascii="Arial" w:hAnsi="Arial" w:cs="Arial"/>
          <w:sz w:val="24"/>
          <w:szCs w:val="24"/>
          <w:lang w:val="es-CO"/>
        </w:rPr>
        <w:t>mayo de 2019</w:t>
      </w:r>
      <w:r>
        <w:rPr>
          <w:rFonts w:ascii="Arial" w:hAnsi="Arial" w:cs="Arial"/>
          <w:sz w:val="24"/>
          <w:szCs w:val="24"/>
          <w:lang w:val="es-CO"/>
        </w:rPr>
        <w:t xml:space="preserve"> que admitió la</w:t>
      </w:r>
      <w:r w:rsidR="001E7513">
        <w:rPr>
          <w:rFonts w:ascii="Arial" w:hAnsi="Arial" w:cs="Arial"/>
          <w:sz w:val="24"/>
          <w:szCs w:val="24"/>
          <w:lang w:val="es-CO"/>
        </w:rPr>
        <w:t xml:space="preserve"> Acción de Tutela</w:t>
      </w:r>
      <w:r>
        <w:rPr>
          <w:rFonts w:ascii="Arial" w:hAnsi="Arial" w:cs="Arial"/>
          <w:sz w:val="24"/>
          <w:szCs w:val="24"/>
          <w:lang w:val="es-CO"/>
        </w:rPr>
        <w:t xml:space="preserve"> </w:t>
      </w:r>
      <w:r w:rsidRPr="00DA7381">
        <w:rPr>
          <w:rFonts w:ascii="Arial" w:hAnsi="Arial" w:cs="Arial"/>
          <w:sz w:val="24"/>
          <w:szCs w:val="24"/>
          <w:lang w:val="es-CO"/>
        </w:rPr>
        <w:t xml:space="preserve">y que me correspondiera por reparto realizar la visita social ordenada, a fin de </w:t>
      </w:r>
      <w:r w:rsidR="00C15674">
        <w:rPr>
          <w:rFonts w:ascii="Arial" w:hAnsi="Arial" w:cs="Arial"/>
          <w:sz w:val="24"/>
          <w:szCs w:val="24"/>
          <w:lang w:val="es-CO"/>
        </w:rPr>
        <w:t xml:space="preserve">verificar </w:t>
      </w:r>
      <w:r w:rsidR="001E7513" w:rsidRPr="00842DC2">
        <w:rPr>
          <w:rFonts w:ascii="Arial" w:hAnsi="Arial" w:cs="Arial"/>
          <w:sz w:val="24"/>
          <w:szCs w:val="24"/>
        </w:rPr>
        <w:t>la situación personal, social, económica, familiar, habitacional, salud y demás</w:t>
      </w:r>
      <w:r w:rsidR="001E7513">
        <w:rPr>
          <w:rFonts w:ascii="Arial" w:hAnsi="Arial" w:cs="Arial"/>
          <w:sz w:val="24"/>
          <w:szCs w:val="24"/>
        </w:rPr>
        <w:t xml:space="preserve"> de los accionantes</w:t>
      </w:r>
      <w:r w:rsidR="00420096">
        <w:rPr>
          <w:rFonts w:ascii="Arial" w:hAnsi="Arial" w:cs="Arial"/>
          <w:sz w:val="24"/>
          <w:szCs w:val="24"/>
        </w:rPr>
        <w:t>.</w:t>
      </w:r>
      <w:r>
        <w:rPr>
          <w:rFonts w:ascii="Arial" w:hAnsi="Arial" w:cs="Arial"/>
          <w:sz w:val="24"/>
          <w:szCs w:val="24"/>
          <w:lang w:val="es-CO"/>
        </w:rPr>
        <w:t xml:space="preserve"> </w:t>
      </w:r>
    </w:p>
    <w:p w:rsidR="00F1748F" w:rsidRDefault="00F1748F" w:rsidP="00F1748F">
      <w:pPr>
        <w:jc w:val="both"/>
        <w:rPr>
          <w:rFonts w:ascii="Arial" w:hAnsi="Arial" w:cs="Arial"/>
          <w:sz w:val="24"/>
          <w:szCs w:val="24"/>
        </w:rPr>
      </w:pPr>
      <w:r w:rsidRPr="00DA7381">
        <w:rPr>
          <w:rFonts w:ascii="Arial" w:hAnsi="Arial" w:cs="Arial"/>
          <w:sz w:val="24"/>
          <w:szCs w:val="24"/>
        </w:rPr>
        <w:lastRenderedPageBreak/>
        <w:t>Entreviste de manera informal</w:t>
      </w:r>
      <w:r>
        <w:rPr>
          <w:rFonts w:ascii="Arial" w:hAnsi="Arial" w:cs="Arial"/>
          <w:sz w:val="24"/>
          <w:szCs w:val="24"/>
        </w:rPr>
        <w:t xml:space="preserve"> a la señora </w:t>
      </w:r>
      <w:r w:rsidR="001E7513">
        <w:rPr>
          <w:rFonts w:ascii="Arial" w:hAnsi="Arial" w:cs="Arial"/>
          <w:sz w:val="24"/>
          <w:szCs w:val="24"/>
        </w:rPr>
        <w:t>ROSA IRENE</w:t>
      </w:r>
      <w:r w:rsidRPr="00DA7381">
        <w:rPr>
          <w:rFonts w:ascii="Arial" w:hAnsi="Arial" w:cs="Arial"/>
          <w:sz w:val="24"/>
          <w:szCs w:val="24"/>
        </w:rPr>
        <w:t xml:space="preserve"> y ella respondió a las preguntas</w:t>
      </w:r>
      <w:r w:rsidR="001E7513">
        <w:rPr>
          <w:rFonts w:ascii="Arial" w:hAnsi="Arial" w:cs="Arial"/>
          <w:sz w:val="24"/>
          <w:szCs w:val="24"/>
        </w:rPr>
        <w:t xml:space="preserve"> de manera clara y espontánea</w:t>
      </w:r>
      <w:r w:rsidR="00A535F3">
        <w:rPr>
          <w:rFonts w:ascii="Arial" w:hAnsi="Arial" w:cs="Arial"/>
          <w:sz w:val="24"/>
          <w:szCs w:val="24"/>
        </w:rPr>
        <w:t>.</w:t>
      </w:r>
    </w:p>
    <w:p w:rsidR="00FC22C3" w:rsidRDefault="00F1748F" w:rsidP="00F1748F">
      <w:pPr>
        <w:jc w:val="both"/>
        <w:rPr>
          <w:rFonts w:ascii="Arial" w:hAnsi="Arial" w:cs="Arial"/>
          <w:b/>
          <w:sz w:val="24"/>
          <w:szCs w:val="24"/>
        </w:rPr>
      </w:pPr>
      <w:r w:rsidRPr="00DB6C67">
        <w:rPr>
          <w:rFonts w:ascii="Arial" w:hAnsi="Arial" w:cs="Arial"/>
          <w:b/>
          <w:sz w:val="28"/>
          <w:szCs w:val="28"/>
        </w:rPr>
        <w:t>COMPOSICION FAMILIAR</w:t>
      </w:r>
      <w:r w:rsidR="001E73F3">
        <w:rPr>
          <w:rFonts w:ascii="Arial" w:hAnsi="Arial" w:cs="Arial"/>
          <w:b/>
          <w:sz w:val="24"/>
          <w:szCs w:val="24"/>
        </w:rPr>
        <w:t>:</w:t>
      </w:r>
      <w:r w:rsidR="00801598">
        <w:rPr>
          <w:rFonts w:ascii="Arial" w:hAnsi="Arial" w:cs="Arial"/>
          <w:b/>
          <w:sz w:val="24"/>
          <w:szCs w:val="24"/>
        </w:rPr>
        <w:t xml:space="preserve"> </w:t>
      </w:r>
    </w:p>
    <w:p w:rsidR="00DD24C9" w:rsidRDefault="00D03B9F" w:rsidP="00F1748F">
      <w:pPr>
        <w:jc w:val="both"/>
        <w:rPr>
          <w:rFonts w:ascii="Arial" w:hAnsi="Arial"/>
        </w:rPr>
      </w:pPr>
      <w:r w:rsidRPr="00DD24C9">
        <w:rPr>
          <w:rFonts w:ascii="Arial" w:hAnsi="Arial" w:cs="Arial"/>
          <w:sz w:val="24"/>
          <w:szCs w:val="24"/>
        </w:rPr>
        <w:t xml:space="preserve">La señora </w:t>
      </w:r>
      <w:r w:rsidR="006B7DF5" w:rsidRPr="00DD24C9">
        <w:rPr>
          <w:rFonts w:ascii="Arial" w:hAnsi="Arial" w:cs="Arial"/>
          <w:sz w:val="24"/>
          <w:szCs w:val="24"/>
        </w:rPr>
        <w:t xml:space="preserve">ROSA IRENE DUARTE TRIVIÑO es casada con el señor JAIME </w:t>
      </w:r>
      <w:r w:rsidR="006B7DF5" w:rsidRPr="00DD24C9">
        <w:rPr>
          <w:rFonts w:ascii="Arial" w:hAnsi="Arial"/>
        </w:rPr>
        <w:t>HERMIDES CASTELLANOS MARTINEZ, tuvieron dos hijos</w:t>
      </w:r>
      <w:r w:rsidR="00DD24C9" w:rsidRPr="00DD24C9">
        <w:rPr>
          <w:rFonts w:ascii="Arial" w:hAnsi="Arial"/>
        </w:rPr>
        <w:t>, JAIRO ALONSO CASTELLANOS DUARTE (fallecido)</w:t>
      </w:r>
      <w:r w:rsidR="00DD24C9">
        <w:rPr>
          <w:rFonts w:ascii="Arial" w:hAnsi="Arial"/>
        </w:rPr>
        <w:t xml:space="preserve"> y SANDRA MILENA CASTELLANOS DUARTE, soltera, tiene dos hijos, vive independiente y trabaja en la empresa TECNIANSA.</w:t>
      </w:r>
    </w:p>
    <w:p w:rsidR="00D91F15" w:rsidRDefault="00DD24C9" w:rsidP="00F1748F">
      <w:pPr>
        <w:jc w:val="both"/>
        <w:rPr>
          <w:rFonts w:ascii="Arial" w:hAnsi="Arial"/>
        </w:rPr>
      </w:pPr>
      <w:r>
        <w:rPr>
          <w:rFonts w:ascii="Arial" w:hAnsi="Arial"/>
        </w:rPr>
        <w:t xml:space="preserve">Los esposos CASTELLANOS – DUARTE se encuentran separados de hecho desde hace 6 años. Actualmente la señora ROSA IRENE vive sola y trabaja atendiendo su propio negocio </w:t>
      </w:r>
      <w:r w:rsidR="00420096">
        <w:rPr>
          <w:rFonts w:ascii="Arial" w:hAnsi="Arial"/>
        </w:rPr>
        <w:t xml:space="preserve">TIENDA </w:t>
      </w:r>
      <w:r>
        <w:rPr>
          <w:rFonts w:ascii="Arial" w:hAnsi="Arial"/>
        </w:rPr>
        <w:t>LA BARCA DE ORO ubicado en la parte baja de su residencia</w:t>
      </w:r>
      <w:r w:rsidR="00D91F15">
        <w:rPr>
          <w:rFonts w:ascii="Arial" w:hAnsi="Arial"/>
        </w:rPr>
        <w:t xml:space="preserve"> y con amplia trayectoria en el barrio</w:t>
      </w:r>
      <w:r>
        <w:rPr>
          <w:rFonts w:ascii="Arial" w:hAnsi="Arial"/>
        </w:rPr>
        <w:t>.</w:t>
      </w:r>
    </w:p>
    <w:p w:rsidR="00801598" w:rsidRPr="00DD24C9" w:rsidRDefault="00DD24C9" w:rsidP="00F1748F">
      <w:pPr>
        <w:jc w:val="both"/>
        <w:rPr>
          <w:rFonts w:ascii="Arial" w:hAnsi="Arial" w:cs="Arial"/>
          <w:sz w:val="24"/>
          <w:szCs w:val="24"/>
        </w:rPr>
      </w:pPr>
      <w:r>
        <w:rPr>
          <w:rFonts w:ascii="Arial" w:hAnsi="Arial"/>
        </w:rPr>
        <w:t xml:space="preserve"> </w:t>
      </w:r>
      <w:r w:rsidR="00DB6C67" w:rsidRPr="00DD24C9">
        <w:rPr>
          <w:rFonts w:ascii="Arial" w:hAnsi="Arial" w:cs="Arial"/>
          <w:sz w:val="24"/>
          <w:szCs w:val="24"/>
        </w:rPr>
        <w:t xml:space="preserve"> </w:t>
      </w:r>
    </w:p>
    <w:p w:rsidR="00F1748F" w:rsidRDefault="00F1748F" w:rsidP="00F1748F">
      <w:pPr>
        <w:rPr>
          <w:rFonts w:ascii="Arial" w:hAnsi="Arial"/>
          <w:b/>
          <w:sz w:val="28"/>
        </w:rPr>
      </w:pPr>
      <w:r>
        <w:rPr>
          <w:rFonts w:ascii="Arial" w:hAnsi="Arial"/>
          <w:b/>
          <w:sz w:val="28"/>
        </w:rPr>
        <w:t xml:space="preserve">ASPECTO ECONÓMICO FAMILIAR </w:t>
      </w:r>
    </w:p>
    <w:p w:rsidR="00F30FCE" w:rsidRDefault="00F1748F" w:rsidP="00F1748F">
      <w:pPr>
        <w:jc w:val="both"/>
        <w:rPr>
          <w:rFonts w:ascii="Arial" w:hAnsi="Arial" w:cs="Arial"/>
          <w:sz w:val="24"/>
          <w:szCs w:val="24"/>
        </w:rPr>
      </w:pPr>
      <w:r w:rsidRPr="000B5DB3">
        <w:rPr>
          <w:rFonts w:ascii="Arial" w:hAnsi="Arial" w:cs="Arial"/>
          <w:b/>
          <w:sz w:val="24"/>
          <w:szCs w:val="24"/>
        </w:rPr>
        <w:t xml:space="preserve">La vivienda es </w:t>
      </w:r>
      <w:r w:rsidR="00C628CF" w:rsidRPr="000B5DB3">
        <w:rPr>
          <w:rFonts w:ascii="Arial" w:hAnsi="Arial" w:cs="Arial"/>
          <w:b/>
          <w:sz w:val="24"/>
          <w:szCs w:val="24"/>
        </w:rPr>
        <w:t xml:space="preserve">propiedad </w:t>
      </w:r>
      <w:r w:rsidR="00DD24C9" w:rsidRPr="000B5DB3">
        <w:rPr>
          <w:rFonts w:ascii="Arial" w:hAnsi="Arial" w:cs="Arial"/>
          <w:b/>
          <w:sz w:val="24"/>
          <w:szCs w:val="24"/>
        </w:rPr>
        <w:t>de los esposos CASTELLANOS - DUARTE</w:t>
      </w:r>
      <w:r w:rsidRPr="00566C61">
        <w:rPr>
          <w:rFonts w:ascii="Arial" w:hAnsi="Arial" w:cs="Arial"/>
          <w:sz w:val="24"/>
          <w:szCs w:val="24"/>
        </w:rPr>
        <w:t xml:space="preserve">, está ubicada en </w:t>
      </w:r>
      <w:r w:rsidR="00DD24C9">
        <w:rPr>
          <w:rFonts w:ascii="Arial" w:hAnsi="Arial" w:cs="Arial"/>
          <w:sz w:val="24"/>
          <w:szCs w:val="24"/>
        </w:rPr>
        <w:t>zona urbana de la ciudad B</w:t>
      </w:r>
      <w:r w:rsidR="00C628CF">
        <w:rPr>
          <w:rFonts w:ascii="Arial" w:hAnsi="Arial" w:cs="Arial"/>
          <w:sz w:val="24"/>
          <w:szCs w:val="24"/>
        </w:rPr>
        <w:t>arrio</w:t>
      </w:r>
      <w:r w:rsidR="00DD24C9">
        <w:rPr>
          <w:rFonts w:ascii="Arial" w:hAnsi="Arial" w:cs="Arial"/>
          <w:sz w:val="24"/>
          <w:szCs w:val="24"/>
        </w:rPr>
        <w:t xml:space="preserve"> El Caribe </w:t>
      </w:r>
      <w:r w:rsidR="00E25C68">
        <w:rPr>
          <w:rFonts w:ascii="Arial" w:hAnsi="Arial" w:cs="Arial"/>
          <w:sz w:val="24"/>
          <w:szCs w:val="24"/>
        </w:rPr>
        <w:t>carrera 11 D Nº47B - 78</w:t>
      </w:r>
      <w:r>
        <w:rPr>
          <w:rFonts w:ascii="Arial" w:hAnsi="Arial" w:cs="Arial"/>
          <w:sz w:val="24"/>
          <w:szCs w:val="24"/>
        </w:rPr>
        <w:t>,</w:t>
      </w:r>
      <w:r w:rsidRPr="00566C61">
        <w:rPr>
          <w:rFonts w:ascii="Arial" w:hAnsi="Arial" w:cs="Arial"/>
          <w:sz w:val="24"/>
          <w:szCs w:val="24"/>
        </w:rPr>
        <w:t xml:space="preserve"> consta de </w:t>
      </w:r>
      <w:r w:rsidR="00E25C68">
        <w:rPr>
          <w:rFonts w:ascii="Arial" w:hAnsi="Arial" w:cs="Arial"/>
          <w:sz w:val="24"/>
          <w:szCs w:val="24"/>
        </w:rPr>
        <w:t>tres niveles con acceso por escalas</w:t>
      </w:r>
      <w:r w:rsidRPr="00566C61">
        <w:rPr>
          <w:rFonts w:ascii="Arial" w:hAnsi="Arial" w:cs="Arial"/>
          <w:sz w:val="24"/>
          <w:szCs w:val="24"/>
        </w:rPr>
        <w:t>;</w:t>
      </w:r>
      <w:r w:rsidR="00E25C68">
        <w:rPr>
          <w:rFonts w:ascii="Arial" w:hAnsi="Arial" w:cs="Arial"/>
          <w:sz w:val="24"/>
          <w:szCs w:val="24"/>
        </w:rPr>
        <w:t xml:space="preserve"> en el primer nivel está ubicado el negocio</w:t>
      </w:r>
      <w:r w:rsidR="00C628CF">
        <w:rPr>
          <w:rFonts w:ascii="Arial" w:hAnsi="Arial" w:cs="Arial"/>
          <w:sz w:val="24"/>
          <w:szCs w:val="24"/>
        </w:rPr>
        <w:t xml:space="preserve"> </w:t>
      </w:r>
      <w:r w:rsidR="00C628CF" w:rsidRPr="000B5DB3">
        <w:rPr>
          <w:rFonts w:ascii="Arial" w:hAnsi="Arial" w:cs="Arial"/>
          <w:b/>
          <w:sz w:val="24"/>
          <w:szCs w:val="24"/>
        </w:rPr>
        <w:t>TIENDA LA BARCA DE ORO</w:t>
      </w:r>
      <w:r w:rsidR="00E25C68" w:rsidRPr="000B5DB3">
        <w:rPr>
          <w:rFonts w:ascii="Arial" w:hAnsi="Arial" w:cs="Arial"/>
          <w:b/>
          <w:sz w:val="24"/>
          <w:szCs w:val="24"/>
        </w:rPr>
        <w:t xml:space="preserve"> </w:t>
      </w:r>
      <w:r w:rsidR="002D4D83">
        <w:rPr>
          <w:rFonts w:ascii="Arial" w:hAnsi="Arial" w:cs="Arial"/>
          <w:sz w:val="24"/>
          <w:szCs w:val="24"/>
        </w:rPr>
        <w:t xml:space="preserve">atendida por su propietaria, </w:t>
      </w:r>
      <w:r w:rsidR="00C628CF">
        <w:rPr>
          <w:rFonts w:ascii="Arial" w:hAnsi="Arial" w:cs="Arial"/>
          <w:sz w:val="24"/>
          <w:szCs w:val="24"/>
        </w:rPr>
        <w:t>totalmente surtida con productos de papelería , aseo personal, aseo para el hogar</w:t>
      </w:r>
      <w:r w:rsidR="002D4D83">
        <w:rPr>
          <w:rFonts w:ascii="Arial" w:hAnsi="Arial" w:cs="Arial"/>
          <w:sz w:val="24"/>
          <w:szCs w:val="24"/>
        </w:rPr>
        <w:t>,</w:t>
      </w:r>
      <w:r w:rsidR="00C628CF">
        <w:rPr>
          <w:rFonts w:ascii="Arial" w:hAnsi="Arial" w:cs="Arial"/>
          <w:sz w:val="24"/>
          <w:szCs w:val="24"/>
        </w:rPr>
        <w:t xml:space="preserve"> productos</w:t>
      </w:r>
      <w:r w:rsidR="002D4D83">
        <w:rPr>
          <w:rFonts w:ascii="Arial" w:hAnsi="Arial" w:cs="Arial"/>
          <w:sz w:val="24"/>
          <w:szCs w:val="24"/>
        </w:rPr>
        <w:t xml:space="preserve"> de belleza, </w:t>
      </w:r>
      <w:r w:rsidR="00C628CF">
        <w:rPr>
          <w:rFonts w:ascii="Arial" w:hAnsi="Arial" w:cs="Arial"/>
          <w:sz w:val="24"/>
          <w:szCs w:val="24"/>
        </w:rPr>
        <w:t xml:space="preserve"> alimenticios, gaseosas, cerveza</w:t>
      </w:r>
      <w:r w:rsidR="002D4D83">
        <w:rPr>
          <w:rFonts w:ascii="Arial" w:hAnsi="Arial" w:cs="Arial"/>
          <w:sz w:val="24"/>
          <w:szCs w:val="24"/>
        </w:rPr>
        <w:t>,</w:t>
      </w:r>
      <w:r w:rsidR="00C628CF">
        <w:rPr>
          <w:rFonts w:ascii="Arial" w:hAnsi="Arial" w:cs="Arial"/>
          <w:sz w:val="24"/>
          <w:szCs w:val="24"/>
        </w:rPr>
        <w:t xml:space="preserve">  lácteos</w:t>
      </w:r>
      <w:r w:rsidR="002D4D83">
        <w:rPr>
          <w:rFonts w:ascii="Arial" w:hAnsi="Arial" w:cs="Arial"/>
          <w:sz w:val="24"/>
          <w:szCs w:val="24"/>
        </w:rPr>
        <w:t>,</w:t>
      </w:r>
      <w:r w:rsidR="00C628CF">
        <w:rPr>
          <w:rFonts w:ascii="Arial" w:hAnsi="Arial" w:cs="Arial"/>
          <w:sz w:val="24"/>
          <w:szCs w:val="24"/>
        </w:rPr>
        <w:t xml:space="preserve"> embutidos</w:t>
      </w:r>
      <w:r w:rsidR="002D4D83">
        <w:rPr>
          <w:rFonts w:ascii="Arial" w:hAnsi="Arial" w:cs="Arial"/>
          <w:sz w:val="24"/>
          <w:szCs w:val="24"/>
        </w:rPr>
        <w:t xml:space="preserve">, regalos para toda ocasión, además de accesorios y todo lo para la industria de la confección (hilos, botones, agujas y demás). </w:t>
      </w:r>
      <w:r w:rsidR="002D4D83" w:rsidRPr="002D4D83">
        <w:rPr>
          <w:rFonts w:ascii="Arial" w:hAnsi="Arial" w:cs="Arial"/>
          <w:sz w:val="24"/>
          <w:szCs w:val="24"/>
        </w:rPr>
        <w:t>E</w:t>
      </w:r>
      <w:r w:rsidR="002D4D83">
        <w:rPr>
          <w:rFonts w:ascii="Arial" w:hAnsi="Arial" w:cs="Arial"/>
          <w:sz w:val="24"/>
          <w:szCs w:val="24"/>
        </w:rPr>
        <w:t>n dicho nivel hay un baño, cocina y patio de ropas</w:t>
      </w:r>
      <w:r w:rsidR="00D91F15">
        <w:rPr>
          <w:rFonts w:ascii="Arial" w:hAnsi="Arial" w:cs="Arial"/>
          <w:sz w:val="24"/>
          <w:szCs w:val="24"/>
        </w:rPr>
        <w:t>;</w:t>
      </w:r>
      <w:r w:rsidR="002D4D83">
        <w:rPr>
          <w:rFonts w:ascii="Arial" w:hAnsi="Arial" w:cs="Arial"/>
          <w:sz w:val="24"/>
          <w:szCs w:val="24"/>
        </w:rPr>
        <w:t xml:space="preserve"> el segundo piso consta  </w:t>
      </w:r>
      <w:r w:rsidR="00C628CF">
        <w:rPr>
          <w:rFonts w:ascii="Arial" w:hAnsi="Arial" w:cs="Arial"/>
          <w:sz w:val="24"/>
          <w:szCs w:val="24"/>
        </w:rPr>
        <w:t xml:space="preserve"> </w:t>
      </w:r>
      <w:r w:rsidR="00FF5012">
        <w:rPr>
          <w:rFonts w:ascii="Arial" w:hAnsi="Arial" w:cs="Arial"/>
          <w:sz w:val="24"/>
          <w:szCs w:val="24"/>
        </w:rPr>
        <w:t xml:space="preserve">de tres habitaciones </w:t>
      </w:r>
      <w:r w:rsidR="00D91F15">
        <w:rPr>
          <w:rFonts w:ascii="Arial" w:hAnsi="Arial" w:cs="Arial"/>
          <w:sz w:val="24"/>
          <w:szCs w:val="24"/>
        </w:rPr>
        <w:t xml:space="preserve">de regular tamaño </w:t>
      </w:r>
      <w:r w:rsidR="00F30FCE">
        <w:rPr>
          <w:rFonts w:ascii="Arial" w:hAnsi="Arial" w:cs="Arial"/>
          <w:sz w:val="24"/>
          <w:szCs w:val="24"/>
        </w:rPr>
        <w:t>y</w:t>
      </w:r>
      <w:r w:rsidR="00D91F15">
        <w:rPr>
          <w:rFonts w:ascii="Arial" w:hAnsi="Arial" w:cs="Arial"/>
          <w:sz w:val="24"/>
          <w:szCs w:val="24"/>
        </w:rPr>
        <w:t xml:space="preserve"> un espacio con</w:t>
      </w:r>
      <w:r w:rsidR="00F30FCE">
        <w:rPr>
          <w:rFonts w:ascii="Arial" w:hAnsi="Arial" w:cs="Arial"/>
          <w:sz w:val="24"/>
          <w:szCs w:val="24"/>
        </w:rPr>
        <w:t xml:space="preserve"> acceso por escalas y baranda a la terraza.</w:t>
      </w:r>
      <w:r w:rsidR="00E25C68">
        <w:rPr>
          <w:rFonts w:ascii="Arial" w:hAnsi="Arial" w:cs="Arial"/>
          <w:sz w:val="24"/>
          <w:szCs w:val="24"/>
        </w:rPr>
        <w:t xml:space="preserve"> </w:t>
      </w:r>
      <w:r w:rsidRPr="00566C61">
        <w:rPr>
          <w:rFonts w:ascii="Arial" w:hAnsi="Arial" w:cs="Arial"/>
          <w:sz w:val="24"/>
          <w:szCs w:val="24"/>
        </w:rPr>
        <w:t xml:space="preserve"> Tienen servicios públicos de agua</w:t>
      </w:r>
      <w:r>
        <w:rPr>
          <w:rFonts w:ascii="Arial" w:hAnsi="Arial" w:cs="Arial"/>
          <w:sz w:val="24"/>
          <w:szCs w:val="24"/>
        </w:rPr>
        <w:t>,</w:t>
      </w:r>
      <w:r w:rsidRPr="00566C61">
        <w:rPr>
          <w:rFonts w:ascii="Arial" w:hAnsi="Arial" w:cs="Arial"/>
          <w:sz w:val="24"/>
          <w:szCs w:val="24"/>
        </w:rPr>
        <w:t xml:space="preserve"> luz</w:t>
      </w:r>
      <w:r>
        <w:rPr>
          <w:rFonts w:ascii="Arial" w:hAnsi="Arial" w:cs="Arial"/>
          <w:sz w:val="24"/>
          <w:szCs w:val="24"/>
        </w:rPr>
        <w:t>,</w:t>
      </w:r>
      <w:r w:rsidR="00FA2C2B">
        <w:rPr>
          <w:rFonts w:ascii="Arial" w:hAnsi="Arial" w:cs="Arial"/>
          <w:sz w:val="24"/>
          <w:szCs w:val="24"/>
        </w:rPr>
        <w:t xml:space="preserve"> </w:t>
      </w:r>
      <w:r w:rsidR="00F30FCE">
        <w:rPr>
          <w:rFonts w:ascii="Arial" w:hAnsi="Arial" w:cs="Arial"/>
          <w:sz w:val="24"/>
          <w:szCs w:val="24"/>
        </w:rPr>
        <w:t>gas domiciliario parabólica y teléfono;</w:t>
      </w:r>
      <w:r>
        <w:rPr>
          <w:rFonts w:ascii="Arial" w:hAnsi="Arial" w:cs="Arial"/>
          <w:sz w:val="24"/>
          <w:szCs w:val="24"/>
        </w:rPr>
        <w:t xml:space="preserve"> </w:t>
      </w:r>
      <w:r w:rsidRPr="00566C61">
        <w:rPr>
          <w:rFonts w:ascii="Arial" w:hAnsi="Arial" w:cs="Arial"/>
          <w:sz w:val="24"/>
          <w:szCs w:val="24"/>
        </w:rPr>
        <w:t xml:space="preserve"> su estado de conservación es </w:t>
      </w:r>
      <w:r w:rsidR="00F30FCE">
        <w:rPr>
          <w:rFonts w:ascii="Arial" w:hAnsi="Arial" w:cs="Arial"/>
          <w:sz w:val="24"/>
          <w:szCs w:val="24"/>
        </w:rPr>
        <w:t>bueno</w:t>
      </w:r>
      <w:r>
        <w:rPr>
          <w:rFonts w:ascii="Arial" w:hAnsi="Arial" w:cs="Arial"/>
          <w:sz w:val="24"/>
          <w:szCs w:val="24"/>
        </w:rPr>
        <w:t xml:space="preserve"> </w:t>
      </w:r>
      <w:r w:rsidRPr="00566C61">
        <w:rPr>
          <w:rFonts w:ascii="Arial" w:hAnsi="Arial" w:cs="Arial"/>
          <w:sz w:val="24"/>
          <w:szCs w:val="24"/>
        </w:rPr>
        <w:t xml:space="preserve">y al momento de la visita se encontraba en </w:t>
      </w:r>
      <w:r w:rsidR="00F30FCE">
        <w:rPr>
          <w:rFonts w:ascii="Arial" w:hAnsi="Arial" w:cs="Arial"/>
          <w:sz w:val="24"/>
          <w:szCs w:val="24"/>
        </w:rPr>
        <w:t>aceptables condiciones higiénicas dada la hora de la visita 9:</w:t>
      </w:r>
      <w:r w:rsidR="00D91F15">
        <w:rPr>
          <w:rFonts w:ascii="Arial" w:hAnsi="Arial" w:cs="Arial"/>
          <w:sz w:val="24"/>
          <w:szCs w:val="24"/>
        </w:rPr>
        <w:t>15</w:t>
      </w:r>
      <w:r w:rsidR="00F30FCE">
        <w:rPr>
          <w:rFonts w:ascii="Arial" w:hAnsi="Arial" w:cs="Arial"/>
          <w:sz w:val="24"/>
          <w:szCs w:val="24"/>
        </w:rPr>
        <w:t xml:space="preserve"> a.m</w:t>
      </w:r>
      <w:r w:rsidRPr="00566C61">
        <w:rPr>
          <w:rFonts w:ascii="Arial" w:hAnsi="Arial" w:cs="Arial"/>
          <w:sz w:val="24"/>
          <w:szCs w:val="24"/>
        </w:rPr>
        <w:t xml:space="preserve">. </w:t>
      </w:r>
    </w:p>
    <w:p w:rsidR="00F30FCE" w:rsidRDefault="00F30FCE" w:rsidP="00F1748F">
      <w:pPr>
        <w:jc w:val="both"/>
        <w:rPr>
          <w:rFonts w:ascii="Arial" w:hAnsi="Arial" w:cs="Arial"/>
          <w:sz w:val="24"/>
          <w:szCs w:val="24"/>
        </w:rPr>
      </w:pPr>
      <w:r>
        <w:rPr>
          <w:rFonts w:ascii="Arial" w:hAnsi="Arial" w:cs="Arial"/>
          <w:sz w:val="24"/>
          <w:szCs w:val="24"/>
        </w:rPr>
        <w:t xml:space="preserve">Tiene muebles y enseres necesarios para el hogar con adecuada distribución de los mismos; no tiene artículos suntuarios. </w:t>
      </w:r>
    </w:p>
    <w:p w:rsidR="002E7B0D" w:rsidRDefault="00D14857" w:rsidP="00F1748F">
      <w:pPr>
        <w:jc w:val="both"/>
        <w:rPr>
          <w:rFonts w:ascii="Arial" w:hAnsi="Arial" w:cs="Arial"/>
          <w:sz w:val="24"/>
          <w:szCs w:val="24"/>
        </w:rPr>
      </w:pPr>
      <w:r>
        <w:rPr>
          <w:rFonts w:ascii="Arial" w:hAnsi="Arial" w:cs="Arial"/>
          <w:sz w:val="24"/>
          <w:szCs w:val="24"/>
        </w:rPr>
        <w:t xml:space="preserve">El señor </w:t>
      </w:r>
      <w:r>
        <w:rPr>
          <w:rFonts w:ascii="Arial" w:hAnsi="Arial"/>
          <w:b/>
        </w:rPr>
        <w:t>JAIME HERMIDES CASTELLANOS MARTINEZ</w:t>
      </w:r>
      <w:r w:rsidR="00F1748F" w:rsidRPr="00566C61">
        <w:rPr>
          <w:rFonts w:ascii="Arial" w:hAnsi="Arial" w:cs="Arial"/>
          <w:sz w:val="24"/>
          <w:szCs w:val="24"/>
        </w:rPr>
        <w:t xml:space="preserve"> </w:t>
      </w:r>
      <w:r>
        <w:rPr>
          <w:rFonts w:ascii="Arial" w:hAnsi="Arial" w:cs="Arial"/>
          <w:sz w:val="24"/>
          <w:szCs w:val="24"/>
        </w:rPr>
        <w:t xml:space="preserve">es pensionado con un salario mínimo y recibe además el 25% de la pensión de su hijo ($280.000.oo) supliendo </w:t>
      </w:r>
      <w:r w:rsidR="00254205">
        <w:rPr>
          <w:rFonts w:ascii="Arial" w:hAnsi="Arial" w:cs="Arial"/>
          <w:sz w:val="24"/>
          <w:szCs w:val="24"/>
        </w:rPr>
        <w:t xml:space="preserve">así, </w:t>
      </w:r>
      <w:r>
        <w:rPr>
          <w:rFonts w:ascii="Arial" w:hAnsi="Arial" w:cs="Arial"/>
          <w:sz w:val="24"/>
          <w:szCs w:val="24"/>
        </w:rPr>
        <w:t xml:space="preserve">sus necesidades básicas. </w:t>
      </w:r>
      <w:r w:rsidRPr="000B5DB3">
        <w:rPr>
          <w:rFonts w:ascii="Arial" w:hAnsi="Arial" w:cs="Arial"/>
          <w:b/>
          <w:sz w:val="24"/>
          <w:szCs w:val="24"/>
        </w:rPr>
        <w:t>La señora ROSA IRENE  tiene su propio negocio y también recibe el 25% de la pensión de su hijo</w:t>
      </w:r>
      <w:r w:rsidR="00F91F57">
        <w:rPr>
          <w:rFonts w:ascii="Arial" w:hAnsi="Arial" w:cs="Arial"/>
          <w:sz w:val="24"/>
          <w:szCs w:val="24"/>
        </w:rPr>
        <w:t xml:space="preserve">; ninguno de </w:t>
      </w:r>
      <w:r w:rsidR="00F91F57" w:rsidRPr="000B5DB3">
        <w:rPr>
          <w:rFonts w:ascii="Arial" w:hAnsi="Arial" w:cs="Arial"/>
          <w:b/>
          <w:sz w:val="24"/>
          <w:szCs w:val="24"/>
        </w:rPr>
        <w:t>los dos tiene personas a cargo</w:t>
      </w:r>
      <w:r w:rsidR="00F91F57">
        <w:rPr>
          <w:rFonts w:ascii="Arial" w:hAnsi="Arial" w:cs="Arial"/>
          <w:sz w:val="24"/>
          <w:szCs w:val="24"/>
        </w:rPr>
        <w:t>. La señora ROSA IRENE, afirma que  est</w:t>
      </w:r>
      <w:r w:rsidR="008737A5">
        <w:rPr>
          <w:rFonts w:ascii="Arial" w:hAnsi="Arial" w:cs="Arial"/>
          <w:sz w:val="24"/>
          <w:szCs w:val="24"/>
        </w:rPr>
        <w:t>á</w:t>
      </w:r>
      <w:r w:rsidR="00F91F57">
        <w:rPr>
          <w:rFonts w:ascii="Arial" w:hAnsi="Arial" w:cs="Arial"/>
          <w:sz w:val="24"/>
          <w:szCs w:val="24"/>
        </w:rPr>
        <w:t xml:space="preserve"> separada de su esposo </w:t>
      </w:r>
      <w:r w:rsidR="008737A5">
        <w:rPr>
          <w:rFonts w:ascii="Arial" w:hAnsi="Arial" w:cs="Arial"/>
          <w:sz w:val="24"/>
          <w:szCs w:val="24"/>
        </w:rPr>
        <w:t xml:space="preserve"> desde hace 6</w:t>
      </w:r>
      <w:r w:rsidR="00965222">
        <w:rPr>
          <w:rFonts w:ascii="Arial" w:hAnsi="Arial" w:cs="Arial"/>
          <w:sz w:val="24"/>
          <w:szCs w:val="24"/>
        </w:rPr>
        <w:t xml:space="preserve"> años</w:t>
      </w:r>
      <w:r w:rsidR="008737A5">
        <w:rPr>
          <w:rFonts w:ascii="Arial" w:hAnsi="Arial" w:cs="Arial"/>
          <w:sz w:val="24"/>
          <w:szCs w:val="24"/>
        </w:rPr>
        <w:t xml:space="preserve"> </w:t>
      </w:r>
      <w:r w:rsidR="002E7B0D">
        <w:rPr>
          <w:rFonts w:ascii="Arial" w:hAnsi="Arial" w:cs="Arial"/>
          <w:sz w:val="24"/>
          <w:szCs w:val="24"/>
        </w:rPr>
        <w:t>y desconoce su lugar de residencia, afirma</w:t>
      </w:r>
      <w:r w:rsidR="00CE47E8">
        <w:rPr>
          <w:rFonts w:ascii="Arial" w:hAnsi="Arial" w:cs="Arial"/>
          <w:sz w:val="24"/>
          <w:szCs w:val="24"/>
        </w:rPr>
        <w:t>ndo</w:t>
      </w:r>
      <w:r w:rsidR="002E7B0D">
        <w:rPr>
          <w:rFonts w:ascii="Arial" w:hAnsi="Arial" w:cs="Arial"/>
          <w:sz w:val="24"/>
          <w:szCs w:val="24"/>
        </w:rPr>
        <w:t xml:space="preserve"> que vive con otra señora</w:t>
      </w:r>
      <w:r w:rsidR="009C5FA9">
        <w:rPr>
          <w:rFonts w:ascii="Arial" w:hAnsi="Arial" w:cs="Arial"/>
          <w:sz w:val="24"/>
          <w:szCs w:val="24"/>
        </w:rPr>
        <w:t>,</w:t>
      </w:r>
      <w:r w:rsidR="002E7B0D">
        <w:rPr>
          <w:rFonts w:ascii="Arial" w:hAnsi="Arial" w:cs="Arial"/>
          <w:sz w:val="24"/>
          <w:szCs w:val="24"/>
        </w:rPr>
        <w:t xml:space="preserve"> pero ella</w:t>
      </w:r>
      <w:r w:rsidR="00CE47E8">
        <w:rPr>
          <w:rFonts w:ascii="Arial" w:hAnsi="Arial" w:cs="Arial"/>
          <w:sz w:val="24"/>
          <w:szCs w:val="24"/>
        </w:rPr>
        <w:t>,</w:t>
      </w:r>
      <w:r w:rsidR="002E7B0D">
        <w:rPr>
          <w:rFonts w:ascii="Arial" w:hAnsi="Arial" w:cs="Arial"/>
          <w:sz w:val="24"/>
          <w:szCs w:val="24"/>
        </w:rPr>
        <w:t xml:space="preserve"> no sabe quién es.</w:t>
      </w:r>
    </w:p>
    <w:p w:rsidR="00DD2E21" w:rsidRDefault="00DD2E21" w:rsidP="00F1748F">
      <w:pPr>
        <w:jc w:val="both"/>
        <w:rPr>
          <w:rFonts w:ascii="Arial" w:hAnsi="Arial" w:cs="Arial"/>
          <w:sz w:val="24"/>
          <w:szCs w:val="24"/>
        </w:rPr>
      </w:pPr>
      <w:r w:rsidRPr="000B5DB3">
        <w:rPr>
          <w:rFonts w:ascii="Arial" w:hAnsi="Arial" w:cs="Arial"/>
          <w:b/>
          <w:sz w:val="24"/>
          <w:szCs w:val="24"/>
        </w:rPr>
        <w:t>ROSA IRENE maneja una cuenta bancaria en Bancolombia, a</w:t>
      </w:r>
      <w:r w:rsidR="00CE47E8">
        <w:rPr>
          <w:rFonts w:ascii="Arial" w:hAnsi="Arial" w:cs="Arial"/>
          <w:b/>
          <w:sz w:val="24"/>
          <w:szCs w:val="24"/>
        </w:rPr>
        <w:t>duciendo</w:t>
      </w:r>
      <w:r w:rsidRPr="000B5DB3">
        <w:rPr>
          <w:rFonts w:ascii="Arial" w:hAnsi="Arial" w:cs="Arial"/>
          <w:b/>
          <w:sz w:val="24"/>
          <w:szCs w:val="24"/>
        </w:rPr>
        <w:t xml:space="preserve"> que allí le consignan lo que le corresponde de la pensión de su hijo</w:t>
      </w:r>
      <w:r>
        <w:rPr>
          <w:rFonts w:ascii="Arial" w:hAnsi="Arial" w:cs="Arial"/>
          <w:sz w:val="24"/>
          <w:szCs w:val="24"/>
        </w:rPr>
        <w:t>.</w:t>
      </w:r>
    </w:p>
    <w:p w:rsidR="000B5DB3" w:rsidRDefault="00D4504D" w:rsidP="00F1748F">
      <w:pPr>
        <w:jc w:val="both"/>
        <w:rPr>
          <w:rFonts w:ascii="Arial" w:hAnsi="Arial" w:cs="Arial"/>
          <w:sz w:val="24"/>
          <w:szCs w:val="24"/>
        </w:rPr>
      </w:pPr>
      <w:r>
        <w:rPr>
          <w:rFonts w:ascii="Arial" w:hAnsi="Arial" w:cs="Arial"/>
          <w:sz w:val="24"/>
          <w:szCs w:val="24"/>
        </w:rPr>
        <w:t>Los accionantes</w:t>
      </w:r>
      <w:r w:rsidR="00F1748F" w:rsidRPr="00A449D3">
        <w:rPr>
          <w:rFonts w:ascii="Arial" w:hAnsi="Arial" w:cs="Arial"/>
          <w:sz w:val="24"/>
          <w:szCs w:val="24"/>
        </w:rPr>
        <w:t xml:space="preserve"> </w:t>
      </w:r>
      <w:r w:rsidR="00FB7242">
        <w:rPr>
          <w:rFonts w:ascii="Arial" w:hAnsi="Arial" w:cs="Arial"/>
          <w:sz w:val="24"/>
          <w:szCs w:val="24"/>
        </w:rPr>
        <w:t xml:space="preserve">CASTELLANOS </w:t>
      </w:r>
      <w:r w:rsidR="009C5FA9">
        <w:rPr>
          <w:rFonts w:ascii="Arial" w:hAnsi="Arial" w:cs="Arial"/>
          <w:sz w:val="24"/>
          <w:szCs w:val="24"/>
        </w:rPr>
        <w:t>- DUARTE</w:t>
      </w:r>
      <w:r w:rsidR="00F1748F" w:rsidRPr="00A449D3">
        <w:rPr>
          <w:rFonts w:ascii="Arial" w:hAnsi="Arial" w:cs="Arial"/>
          <w:sz w:val="24"/>
          <w:szCs w:val="24"/>
        </w:rPr>
        <w:t xml:space="preserve"> </w:t>
      </w:r>
      <w:r w:rsidR="00F1748F">
        <w:rPr>
          <w:rFonts w:ascii="Arial" w:hAnsi="Arial" w:cs="Arial"/>
          <w:sz w:val="24"/>
          <w:szCs w:val="24"/>
        </w:rPr>
        <w:t>pertenece</w:t>
      </w:r>
      <w:r>
        <w:rPr>
          <w:rFonts w:ascii="Arial" w:hAnsi="Arial" w:cs="Arial"/>
          <w:sz w:val="24"/>
          <w:szCs w:val="24"/>
        </w:rPr>
        <w:t>n</w:t>
      </w:r>
      <w:r w:rsidR="00F1748F">
        <w:rPr>
          <w:rFonts w:ascii="Arial" w:hAnsi="Arial" w:cs="Arial"/>
          <w:sz w:val="24"/>
          <w:szCs w:val="24"/>
        </w:rPr>
        <w:t xml:space="preserve"> a un estrato medio bajo con las características propias del mismo, </w:t>
      </w:r>
      <w:r w:rsidR="00F1748F" w:rsidRPr="00A449D3">
        <w:rPr>
          <w:rFonts w:ascii="Arial" w:hAnsi="Arial" w:cs="Arial"/>
          <w:sz w:val="24"/>
          <w:szCs w:val="24"/>
        </w:rPr>
        <w:t>maneja</w:t>
      </w:r>
      <w:r>
        <w:rPr>
          <w:rFonts w:ascii="Arial" w:hAnsi="Arial" w:cs="Arial"/>
          <w:sz w:val="24"/>
          <w:szCs w:val="24"/>
        </w:rPr>
        <w:t>n</w:t>
      </w:r>
      <w:r w:rsidR="00F1748F" w:rsidRPr="00A449D3">
        <w:rPr>
          <w:rFonts w:ascii="Arial" w:hAnsi="Arial" w:cs="Arial"/>
          <w:sz w:val="24"/>
          <w:szCs w:val="24"/>
        </w:rPr>
        <w:t xml:space="preserve"> buenas relaciones interpersonales</w:t>
      </w:r>
      <w:r>
        <w:rPr>
          <w:rFonts w:ascii="Arial" w:hAnsi="Arial" w:cs="Arial"/>
          <w:sz w:val="24"/>
          <w:szCs w:val="24"/>
        </w:rPr>
        <w:t xml:space="preserve"> y comunitarias</w:t>
      </w:r>
      <w:r w:rsidR="00F1748F" w:rsidRPr="00A449D3">
        <w:rPr>
          <w:rFonts w:ascii="Arial" w:hAnsi="Arial" w:cs="Arial"/>
          <w:sz w:val="24"/>
          <w:szCs w:val="24"/>
        </w:rPr>
        <w:t>,</w:t>
      </w:r>
      <w:r w:rsidR="00F1748F">
        <w:rPr>
          <w:rFonts w:ascii="Arial" w:hAnsi="Arial" w:cs="Arial"/>
          <w:sz w:val="24"/>
          <w:szCs w:val="24"/>
        </w:rPr>
        <w:t xml:space="preserve"> </w:t>
      </w:r>
      <w:r w:rsidR="00F1748F" w:rsidRPr="00A449D3">
        <w:rPr>
          <w:rFonts w:ascii="Arial" w:hAnsi="Arial" w:cs="Arial"/>
          <w:sz w:val="24"/>
          <w:szCs w:val="24"/>
        </w:rPr>
        <w:t>tienen lazos afectivos sólidos</w:t>
      </w:r>
      <w:r w:rsidR="008A24DF">
        <w:rPr>
          <w:rFonts w:ascii="Arial" w:hAnsi="Arial" w:cs="Arial"/>
          <w:sz w:val="24"/>
          <w:szCs w:val="24"/>
        </w:rPr>
        <w:t xml:space="preserve">, hay </w:t>
      </w:r>
      <w:r w:rsidR="009C5FA9">
        <w:rPr>
          <w:rFonts w:ascii="Arial" w:hAnsi="Arial" w:cs="Arial"/>
          <w:sz w:val="24"/>
          <w:szCs w:val="24"/>
        </w:rPr>
        <w:t>auto</w:t>
      </w:r>
      <w:r w:rsidR="008A24DF">
        <w:rPr>
          <w:rFonts w:ascii="Arial" w:hAnsi="Arial" w:cs="Arial"/>
          <w:sz w:val="24"/>
          <w:szCs w:val="24"/>
        </w:rPr>
        <w:t xml:space="preserve">cuidado </w:t>
      </w:r>
      <w:r w:rsidR="009D2C82">
        <w:rPr>
          <w:rFonts w:ascii="Arial" w:hAnsi="Arial" w:cs="Arial"/>
          <w:sz w:val="24"/>
          <w:szCs w:val="24"/>
        </w:rPr>
        <w:t xml:space="preserve"> </w:t>
      </w:r>
      <w:r w:rsidR="008A24DF">
        <w:rPr>
          <w:rFonts w:ascii="Arial" w:hAnsi="Arial" w:cs="Arial"/>
          <w:sz w:val="24"/>
          <w:szCs w:val="24"/>
        </w:rPr>
        <w:t>y</w:t>
      </w:r>
      <w:r w:rsidR="009D2C82">
        <w:rPr>
          <w:rFonts w:ascii="Arial" w:hAnsi="Arial" w:cs="Arial"/>
          <w:sz w:val="24"/>
          <w:szCs w:val="24"/>
        </w:rPr>
        <w:t xml:space="preserve"> acompañamiento permanente </w:t>
      </w:r>
      <w:r w:rsidR="009C5FA9">
        <w:rPr>
          <w:rFonts w:ascii="Arial" w:hAnsi="Arial" w:cs="Arial"/>
          <w:sz w:val="24"/>
          <w:szCs w:val="24"/>
        </w:rPr>
        <w:t>de la hija</w:t>
      </w:r>
      <w:r w:rsidR="005A65FA">
        <w:rPr>
          <w:rFonts w:ascii="Arial" w:hAnsi="Arial" w:cs="Arial"/>
          <w:sz w:val="24"/>
          <w:szCs w:val="24"/>
        </w:rPr>
        <w:t>.</w:t>
      </w:r>
    </w:p>
    <w:p w:rsidR="003968B2" w:rsidRDefault="005A65FA" w:rsidP="00F1748F">
      <w:pPr>
        <w:jc w:val="both"/>
        <w:rPr>
          <w:rFonts w:ascii="Arial" w:hAnsi="Arial" w:cs="Arial"/>
          <w:sz w:val="24"/>
          <w:szCs w:val="24"/>
        </w:rPr>
      </w:pPr>
      <w:r>
        <w:rPr>
          <w:rFonts w:ascii="Arial" w:hAnsi="Arial" w:cs="Arial"/>
          <w:sz w:val="24"/>
          <w:szCs w:val="24"/>
        </w:rPr>
        <w:t xml:space="preserve">La señora </w:t>
      </w:r>
      <w:r w:rsidR="009C5FA9">
        <w:rPr>
          <w:rFonts w:ascii="Arial" w:hAnsi="Arial" w:cs="Arial"/>
          <w:sz w:val="24"/>
          <w:szCs w:val="24"/>
        </w:rPr>
        <w:t>SANDRA MILENA CASTELLANOS DUARTE convive en unión libre, tiene 2 hijos LAURA CAMILA RODRIGUEZ de 20 años y SANTIAGO FLOREZ de 8 meses; trabaja en la empresa TECNIANSA y suple sus propios gastos.</w:t>
      </w:r>
    </w:p>
    <w:p w:rsidR="008737D6" w:rsidRPr="00DD2E21" w:rsidRDefault="009C5FA9" w:rsidP="008737D6">
      <w:pPr>
        <w:jc w:val="both"/>
        <w:rPr>
          <w:rFonts w:ascii="Arial" w:hAnsi="Arial"/>
        </w:rPr>
      </w:pPr>
      <w:r>
        <w:rPr>
          <w:rFonts w:ascii="Arial" w:hAnsi="Arial"/>
        </w:rPr>
        <w:t>La señora ROSA IRENE e</w:t>
      </w:r>
      <w:r w:rsidR="008737D6" w:rsidRPr="00476C77">
        <w:rPr>
          <w:rFonts w:ascii="Arial" w:hAnsi="Arial"/>
        </w:rPr>
        <w:t xml:space="preserve">stá vinculada </w:t>
      </w:r>
      <w:r>
        <w:rPr>
          <w:rFonts w:ascii="Arial" w:hAnsi="Arial"/>
        </w:rPr>
        <w:t xml:space="preserve">a </w:t>
      </w:r>
      <w:r w:rsidR="008737D6" w:rsidRPr="00476C77">
        <w:rPr>
          <w:rFonts w:ascii="Arial" w:hAnsi="Arial"/>
        </w:rPr>
        <w:t>la</w:t>
      </w:r>
      <w:r w:rsidR="008737D6" w:rsidRPr="00076471">
        <w:rPr>
          <w:rFonts w:ascii="Arial" w:hAnsi="Arial"/>
          <w:b/>
        </w:rPr>
        <w:t xml:space="preserve"> EPS Salud </w:t>
      </w:r>
      <w:r>
        <w:rPr>
          <w:rFonts w:ascii="Arial" w:hAnsi="Arial"/>
          <w:b/>
        </w:rPr>
        <w:t xml:space="preserve">Total </w:t>
      </w:r>
      <w:r w:rsidRPr="00DD2E21">
        <w:rPr>
          <w:rFonts w:ascii="Arial" w:hAnsi="Arial"/>
        </w:rPr>
        <w:t xml:space="preserve">como beneficiaria del señor </w:t>
      </w:r>
      <w:r w:rsidR="008737D6" w:rsidRPr="00DD2E21">
        <w:rPr>
          <w:rFonts w:ascii="Arial" w:hAnsi="Arial"/>
        </w:rPr>
        <w:t xml:space="preserve">  </w:t>
      </w:r>
      <w:r w:rsidR="00DD2E21">
        <w:rPr>
          <w:rFonts w:ascii="Arial" w:hAnsi="Arial"/>
          <w:b/>
        </w:rPr>
        <w:t>JAIME HERMIDES CASTELLANOS MARTINEZ</w:t>
      </w:r>
      <w:r w:rsidR="008737D6" w:rsidRPr="00DD2E21">
        <w:rPr>
          <w:rFonts w:ascii="Arial" w:hAnsi="Arial"/>
        </w:rPr>
        <w:t xml:space="preserve"> </w:t>
      </w:r>
    </w:p>
    <w:p w:rsidR="00F1748F" w:rsidRDefault="00F1748F" w:rsidP="00F1748F">
      <w:pPr>
        <w:jc w:val="both"/>
        <w:rPr>
          <w:rFonts w:ascii="Arial" w:hAnsi="Arial" w:cs="Arial"/>
          <w:b/>
          <w:sz w:val="24"/>
          <w:szCs w:val="24"/>
        </w:rPr>
      </w:pPr>
      <w:r w:rsidRPr="00B6458D">
        <w:rPr>
          <w:rFonts w:ascii="Arial" w:hAnsi="Arial" w:cs="Arial"/>
          <w:b/>
          <w:sz w:val="24"/>
          <w:szCs w:val="24"/>
        </w:rPr>
        <w:lastRenderedPageBreak/>
        <w:t>CONCEPTO SOCIAL</w:t>
      </w:r>
      <w:r>
        <w:rPr>
          <w:rFonts w:ascii="Arial" w:hAnsi="Arial" w:cs="Arial"/>
          <w:b/>
          <w:sz w:val="24"/>
          <w:szCs w:val="24"/>
        </w:rPr>
        <w:t>:</w:t>
      </w:r>
    </w:p>
    <w:p w:rsidR="00934E1A" w:rsidRDefault="00F1748F" w:rsidP="00934E1A">
      <w:pPr>
        <w:jc w:val="both"/>
        <w:rPr>
          <w:rFonts w:ascii="Arial" w:hAnsi="Arial" w:cs="Arial"/>
        </w:rPr>
      </w:pPr>
      <w:r w:rsidRPr="001761ED">
        <w:rPr>
          <w:rFonts w:ascii="Arial" w:hAnsi="Arial" w:cs="Arial"/>
          <w:sz w:val="24"/>
          <w:szCs w:val="24"/>
        </w:rPr>
        <w:t>Realizada la correspondiente visita a</w:t>
      </w:r>
      <w:r>
        <w:rPr>
          <w:rFonts w:ascii="Arial" w:hAnsi="Arial" w:cs="Arial"/>
          <w:sz w:val="24"/>
          <w:szCs w:val="24"/>
        </w:rPr>
        <w:t xml:space="preserve"> la residencia </w:t>
      </w:r>
      <w:r w:rsidR="00D4504D">
        <w:rPr>
          <w:rFonts w:ascii="Arial" w:hAnsi="Arial" w:cs="Arial"/>
          <w:sz w:val="24"/>
          <w:szCs w:val="24"/>
        </w:rPr>
        <w:t>ubicada en el Barrio El Caribe</w:t>
      </w:r>
      <w:r>
        <w:rPr>
          <w:rFonts w:ascii="Arial" w:hAnsi="Arial" w:cs="Arial"/>
          <w:sz w:val="24"/>
          <w:szCs w:val="24"/>
        </w:rPr>
        <w:t xml:space="preserve"> </w:t>
      </w:r>
      <w:r w:rsidR="00D4504D">
        <w:rPr>
          <w:rFonts w:ascii="Arial" w:hAnsi="Arial" w:cs="Arial"/>
          <w:sz w:val="24"/>
          <w:szCs w:val="24"/>
        </w:rPr>
        <w:t xml:space="preserve">carrera 11 D Nº47B </w:t>
      </w:r>
      <w:r w:rsidR="005B7632">
        <w:rPr>
          <w:rFonts w:ascii="Arial" w:hAnsi="Arial" w:cs="Arial"/>
          <w:sz w:val="24"/>
          <w:szCs w:val="24"/>
        </w:rPr>
        <w:t>–</w:t>
      </w:r>
      <w:r w:rsidR="00D4504D">
        <w:rPr>
          <w:rFonts w:ascii="Arial" w:hAnsi="Arial" w:cs="Arial"/>
          <w:sz w:val="24"/>
          <w:szCs w:val="24"/>
        </w:rPr>
        <w:t xml:space="preserve"> </w:t>
      </w:r>
      <w:r w:rsidR="005B7632">
        <w:rPr>
          <w:rFonts w:ascii="Arial" w:hAnsi="Arial" w:cs="Arial"/>
          <w:sz w:val="24"/>
          <w:szCs w:val="24"/>
        </w:rPr>
        <w:t xml:space="preserve">78 </w:t>
      </w:r>
      <w:r>
        <w:rPr>
          <w:rFonts w:ascii="Arial" w:hAnsi="Arial" w:cs="Arial"/>
          <w:sz w:val="24"/>
          <w:szCs w:val="24"/>
        </w:rPr>
        <w:t>y con la información recopilada a través de las técnicas utilizadas</w:t>
      </w:r>
      <w:r w:rsidR="00420096">
        <w:rPr>
          <w:rFonts w:ascii="Arial" w:hAnsi="Arial" w:cs="Arial"/>
          <w:sz w:val="24"/>
          <w:szCs w:val="24"/>
        </w:rPr>
        <w:t>;</w:t>
      </w:r>
      <w:r>
        <w:rPr>
          <w:rFonts w:ascii="Arial" w:hAnsi="Arial" w:cs="Arial"/>
          <w:sz w:val="24"/>
          <w:szCs w:val="24"/>
        </w:rPr>
        <w:t xml:space="preserve"> se concluye finalmente que l</w:t>
      </w:r>
      <w:r w:rsidR="00D4504D">
        <w:rPr>
          <w:rFonts w:ascii="Arial" w:hAnsi="Arial" w:cs="Arial"/>
          <w:sz w:val="24"/>
          <w:szCs w:val="24"/>
        </w:rPr>
        <w:t xml:space="preserve">os accionantes CASTELLANOS </w:t>
      </w:r>
      <w:r w:rsidR="005B7632">
        <w:rPr>
          <w:rFonts w:ascii="Arial" w:hAnsi="Arial" w:cs="Arial"/>
          <w:sz w:val="24"/>
          <w:szCs w:val="24"/>
        </w:rPr>
        <w:t>–</w:t>
      </w:r>
      <w:r w:rsidR="00D4504D">
        <w:rPr>
          <w:rFonts w:ascii="Arial" w:hAnsi="Arial" w:cs="Arial"/>
          <w:sz w:val="24"/>
          <w:szCs w:val="24"/>
        </w:rPr>
        <w:t xml:space="preserve"> DUARTE</w:t>
      </w:r>
      <w:r w:rsidR="005B7632">
        <w:rPr>
          <w:rFonts w:ascii="Arial" w:hAnsi="Arial" w:cs="Arial"/>
          <w:sz w:val="24"/>
          <w:szCs w:val="24"/>
        </w:rPr>
        <w:t>,</w:t>
      </w:r>
      <w:r>
        <w:rPr>
          <w:rFonts w:ascii="Arial" w:hAnsi="Arial" w:cs="Arial"/>
          <w:sz w:val="24"/>
          <w:szCs w:val="24"/>
        </w:rPr>
        <w:t xml:space="preserve"> </w:t>
      </w:r>
      <w:r w:rsidR="00CA6287">
        <w:rPr>
          <w:rFonts w:ascii="Arial" w:hAnsi="Arial" w:cs="Arial"/>
          <w:sz w:val="24"/>
          <w:szCs w:val="24"/>
        </w:rPr>
        <w:t>viv</w:t>
      </w:r>
      <w:r w:rsidR="000B5DB3">
        <w:rPr>
          <w:rFonts w:ascii="Arial" w:hAnsi="Arial" w:cs="Arial"/>
          <w:sz w:val="24"/>
          <w:szCs w:val="24"/>
        </w:rPr>
        <w:t>e</w:t>
      </w:r>
      <w:r w:rsidR="00D4504D">
        <w:rPr>
          <w:rFonts w:ascii="Arial" w:hAnsi="Arial" w:cs="Arial"/>
          <w:sz w:val="24"/>
          <w:szCs w:val="24"/>
        </w:rPr>
        <w:t>n</w:t>
      </w:r>
      <w:r w:rsidR="00CA6287">
        <w:rPr>
          <w:rFonts w:ascii="Arial" w:hAnsi="Arial" w:cs="Arial"/>
          <w:sz w:val="24"/>
          <w:szCs w:val="24"/>
        </w:rPr>
        <w:t xml:space="preserve"> en </w:t>
      </w:r>
      <w:r w:rsidR="009B69D1">
        <w:rPr>
          <w:rFonts w:ascii="Arial" w:hAnsi="Arial" w:cs="Arial"/>
          <w:sz w:val="24"/>
          <w:szCs w:val="24"/>
        </w:rPr>
        <w:t xml:space="preserve">condiciones </w:t>
      </w:r>
      <w:r w:rsidR="000B5DB3">
        <w:rPr>
          <w:rFonts w:ascii="Arial" w:hAnsi="Arial" w:cs="Arial"/>
          <w:sz w:val="24"/>
          <w:szCs w:val="24"/>
        </w:rPr>
        <w:t xml:space="preserve">normales en un estrato medio </w:t>
      </w:r>
      <w:r w:rsidR="00CE47E8">
        <w:rPr>
          <w:rFonts w:ascii="Arial" w:hAnsi="Arial" w:cs="Arial"/>
          <w:sz w:val="24"/>
          <w:szCs w:val="24"/>
        </w:rPr>
        <w:t>–</w:t>
      </w:r>
      <w:r w:rsidR="000B5DB3">
        <w:rPr>
          <w:rFonts w:ascii="Arial" w:hAnsi="Arial" w:cs="Arial"/>
          <w:sz w:val="24"/>
          <w:szCs w:val="24"/>
        </w:rPr>
        <w:t xml:space="preserve"> bajo</w:t>
      </w:r>
      <w:r w:rsidR="00667BA4">
        <w:rPr>
          <w:rFonts w:ascii="Arial" w:hAnsi="Arial" w:cs="Arial"/>
          <w:sz w:val="24"/>
          <w:szCs w:val="24"/>
        </w:rPr>
        <w:t>,</w:t>
      </w:r>
      <w:r w:rsidR="00CE47E8">
        <w:rPr>
          <w:rFonts w:ascii="Arial" w:hAnsi="Arial" w:cs="Arial"/>
          <w:sz w:val="24"/>
          <w:szCs w:val="24"/>
        </w:rPr>
        <w:t xml:space="preserve"> </w:t>
      </w:r>
      <w:r w:rsidR="000B5DB3">
        <w:rPr>
          <w:rFonts w:ascii="Arial" w:hAnsi="Arial" w:cs="Arial"/>
          <w:sz w:val="24"/>
          <w:szCs w:val="24"/>
        </w:rPr>
        <w:t>maneja</w:t>
      </w:r>
      <w:r w:rsidR="005B7632">
        <w:rPr>
          <w:rFonts w:ascii="Arial" w:hAnsi="Arial" w:cs="Arial"/>
          <w:sz w:val="24"/>
          <w:szCs w:val="24"/>
        </w:rPr>
        <w:t>ndo cada uno</w:t>
      </w:r>
      <w:r w:rsidR="000B5DB3">
        <w:rPr>
          <w:rFonts w:ascii="Arial" w:hAnsi="Arial" w:cs="Arial"/>
          <w:sz w:val="24"/>
          <w:szCs w:val="24"/>
        </w:rPr>
        <w:t xml:space="preserve"> su estatus económico</w:t>
      </w:r>
      <w:r w:rsidR="009B69D1">
        <w:rPr>
          <w:rFonts w:ascii="Arial" w:hAnsi="Arial" w:cs="Arial"/>
          <w:sz w:val="24"/>
          <w:szCs w:val="24"/>
        </w:rPr>
        <w:t>.</w:t>
      </w:r>
      <w:r w:rsidR="00D91F15">
        <w:rPr>
          <w:rFonts w:ascii="Arial" w:hAnsi="Arial" w:cs="Arial"/>
          <w:sz w:val="24"/>
          <w:szCs w:val="24"/>
        </w:rPr>
        <w:t xml:space="preserve"> Por lo anterior no</w:t>
      </w:r>
      <w:r w:rsidR="000B5DB3">
        <w:rPr>
          <w:rFonts w:ascii="Arial" w:hAnsi="Arial" w:cs="Arial"/>
          <w:sz w:val="24"/>
          <w:szCs w:val="24"/>
        </w:rPr>
        <w:t xml:space="preserve"> </w:t>
      </w:r>
      <w:r w:rsidR="00D91F15">
        <w:rPr>
          <w:rFonts w:ascii="Arial" w:hAnsi="Arial" w:cs="Arial"/>
          <w:sz w:val="24"/>
          <w:szCs w:val="24"/>
        </w:rPr>
        <w:t xml:space="preserve"> se vislumbra que exista un perjuicio irremediable por afectación al mínimo vital ni</w:t>
      </w:r>
      <w:r w:rsidR="005B1077">
        <w:rPr>
          <w:rFonts w:ascii="Arial" w:hAnsi="Arial" w:cs="Arial"/>
          <w:sz w:val="24"/>
          <w:szCs w:val="24"/>
        </w:rPr>
        <w:t xml:space="preserve"> factores de riesgo</w:t>
      </w:r>
      <w:r>
        <w:rPr>
          <w:rFonts w:ascii="Arial" w:hAnsi="Arial" w:cs="Arial"/>
          <w:sz w:val="24"/>
          <w:szCs w:val="24"/>
        </w:rPr>
        <w:t xml:space="preserve"> que vulner</w:t>
      </w:r>
      <w:r w:rsidR="00D91F15">
        <w:rPr>
          <w:rFonts w:ascii="Arial" w:hAnsi="Arial" w:cs="Arial"/>
          <w:sz w:val="24"/>
          <w:szCs w:val="24"/>
        </w:rPr>
        <w:t>e</w:t>
      </w:r>
      <w:r>
        <w:rPr>
          <w:rFonts w:ascii="Arial" w:hAnsi="Arial" w:cs="Arial"/>
          <w:sz w:val="24"/>
          <w:szCs w:val="24"/>
        </w:rPr>
        <w:t>n o trasgred</w:t>
      </w:r>
      <w:r w:rsidR="00D91F15">
        <w:rPr>
          <w:rFonts w:ascii="Arial" w:hAnsi="Arial" w:cs="Arial"/>
          <w:sz w:val="24"/>
          <w:szCs w:val="24"/>
        </w:rPr>
        <w:t>a</w:t>
      </w:r>
      <w:r>
        <w:rPr>
          <w:rFonts w:ascii="Arial" w:hAnsi="Arial" w:cs="Arial"/>
          <w:sz w:val="24"/>
          <w:szCs w:val="24"/>
        </w:rPr>
        <w:t xml:space="preserve">n </w:t>
      </w:r>
      <w:r w:rsidR="001E6FD9">
        <w:rPr>
          <w:rFonts w:ascii="Arial" w:hAnsi="Arial" w:cs="Arial"/>
          <w:sz w:val="24"/>
          <w:szCs w:val="24"/>
        </w:rPr>
        <w:t>sus</w:t>
      </w:r>
      <w:r>
        <w:rPr>
          <w:rFonts w:ascii="Arial" w:hAnsi="Arial" w:cs="Arial"/>
          <w:sz w:val="24"/>
          <w:szCs w:val="24"/>
        </w:rPr>
        <w:t xml:space="preserve"> derechos fundamentales</w:t>
      </w:r>
      <w:r w:rsidR="00D91F15">
        <w:rPr>
          <w:rFonts w:ascii="Arial" w:hAnsi="Arial" w:cs="Arial"/>
          <w:sz w:val="24"/>
          <w:szCs w:val="24"/>
        </w:rPr>
        <w:t>.</w:t>
      </w:r>
      <w:r w:rsidR="005B7632">
        <w:rPr>
          <w:rFonts w:ascii="Arial" w:hAnsi="Arial" w:cs="Arial"/>
          <w:sz w:val="24"/>
          <w:szCs w:val="24"/>
        </w:rPr>
        <w:t xml:space="preserve"> </w:t>
      </w:r>
      <w:r w:rsidR="00420096">
        <w:rPr>
          <w:rFonts w:ascii="Arial" w:hAnsi="Arial" w:cs="Arial"/>
          <w:sz w:val="24"/>
          <w:szCs w:val="24"/>
        </w:rPr>
        <w:t>C</w:t>
      </w:r>
      <w:r w:rsidR="005B7632">
        <w:rPr>
          <w:rFonts w:ascii="Arial" w:hAnsi="Arial" w:cs="Arial"/>
          <w:sz w:val="24"/>
          <w:szCs w:val="24"/>
        </w:rPr>
        <w:t xml:space="preserve">onsidero que los accionantes deben recurrir a otras instancias para reclamar y hacer valer sus derechos.  </w:t>
      </w:r>
    </w:p>
    <w:p w:rsidR="00404168" w:rsidRPr="00D873F9" w:rsidRDefault="00404168" w:rsidP="00404168">
      <w:pPr>
        <w:overflowPunct w:val="0"/>
        <w:autoSpaceDE w:val="0"/>
        <w:autoSpaceDN w:val="0"/>
        <w:adjustRightInd w:val="0"/>
        <w:spacing w:after="200" w:line="254" w:lineRule="auto"/>
        <w:ind w:right="-7"/>
        <w:jc w:val="both"/>
        <w:textAlignment w:val="baseline"/>
        <w:rPr>
          <w:rFonts w:ascii="Verdana" w:hAnsi="Verdana" w:cs="Tahoma"/>
          <w:sz w:val="21"/>
          <w:szCs w:val="21"/>
        </w:rPr>
      </w:pPr>
      <w:r>
        <w:rPr>
          <w:rFonts w:ascii="Verdana" w:hAnsi="Verdana" w:cs="Tahoma"/>
          <w:sz w:val="21"/>
          <w:szCs w:val="21"/>
        </w:rPr>
        <w:t>Ahora bien, d</w:t>
      </w:r>
      <w:r w:rsidRPr="00D873F9">
        <w:rPr>
          <w:rFonts w:ascii="Verdana" w:hAnsi="Verdana" w:cs="Tahoma"/>
          <w:sz w:val="21"/>
          <w:szCs w:val="21"/>
        </w:rPr>
        <w:t xml:space="preserve">ebe tenerse presente que la acción de tutela fue concebida desde </w:t>
      </w:r>
      <w:proofErr w:type="gramStart"/>
      <w:r w:rsidRPr="00D873F9">
        <w:rPr>
          <w:rFonts w:ascii="Verdana" w:hAnsi="Verdana" w:cs="Tahoma"/>
          <w:sz w:val="21"/>
          <w:szCs w:val="21"/>
        </w:rPr>
        <w:t>sus</w:t>
      </w:r>
      <w:proofErr w:type="gramEnd"/>
      <w:r w:rsidRPr="00D873F9">
        <w:rPr>
          <w:rFonts w:ascii="Verdana" w:hAnsi="Verdana" w:cs="Tahoma"/>
          <w:sz w:val="21"/>
          <w:szCs w:val="21"/>
        </w:rPr>
        <w:t xml:space="preserve"> orígenes constitucionales dentro del Ordenamiento Jurídico Colombiano como un mecanismo expedito de protección de derechos fundamentales pero también se le asignó un carácter subsidiario o residual ante la existencia de otros mecanismos de defensa judicial.</w:t>
      </w:r>
    </w:p>
    <w:p w:rsidR="00404168" w:rsidRDefault="00404168" w:rsidP="00404168">
      <w:pPr>
        <w:overflowPunct w:val="0"/>
        <w:autoSpaceDE w:val="0"/>
        <w:autoSpaceDN w:val="0"/>
        <w:adjustRightInd w:val="0"/>
        <w:spacing w:after="200" w:line="254" w:lineRule="auto"/>
        <w:ind w:right="-7"/>
        <w:jc w:val="both"/>
        <w:textAlignment w:val="baseline"/>
        <w:rPr>
          <w:rFonts w:ascii="Verdana" w:hAnsi="Verdana" w:cs="Tahoma"/>
        </w:rPr>
      </w:pPr>
      <w:r w:rsidRPr="00D873F9">
        <w:rPr>
          <w:rFonts w:ascii="Verdana" w:hAnsi="Verdana" w:cs="Tahoma"/>
          <w:sz w:val="21"/>
          <w:szCs w:val="21"/>
        </w:rPr>
        <w:t>Es por esto que el Decreto 2591 de 1991 en su artículo 6 determinó que la acción de tutela es improcedente</w:t>
      </w:r>
      <w:r w:rsidRPr="00C32EA7">
        <w:rPr>
          <w:rFonts w:ascii="Verdana" w:hAnsi="Verdana" w:cs="Tahoma"/>
        </w:rPr>
        <w:t xml:space="preserve"> </w:t>
      </w:r>
      <w:r w:rsidRPr="00C32EA7">
        <w:rPr>
          <w:rFonts w:ascii="Verdana" w:hAnsi="Verdana" w:cs="Tahoma"/>
          <w:i/>
          <w:sz w:val="20"/>
          <w:szCs w:val="20"/>
        </w:rPr>
        <w:t>“cuando existen otros recursos o medios de defensa judiciales, salvo que aquellos se utilicen como mecanismo transitorio para evitar un perjuicio irremediable”</w:t>
      </w:r>
      <w:r w:rsidRPr="00C32EA7">
        <w:rPr>
          <w:rFonts w:ascii="Verdana" w:hAnsi="Verdana" w:cs="Tahoma"/>
        </w:rPr>
        <w:t>.</w:t>
      </w:r>
    </w:p>
    <w:p w:rsidR="00404168" w:rsidRPr="002210C4" w:rsidRDefault="00404168" w:rsidP="00404168">
      <w:pPr>
        <w:overflowPunct w:val="0"/>
        <w:autoSpaceDE w:val="0"/>
        <w:autoSpaceDN w:val="0"/>
        <w:adjustRightInd w:val="0"/>
        <w:spacing w:after="200" w:line="254" w:lineRule="auto"/>
        <w:ind w:right="-7"/>
        <w:jc w:val="both"/>
        <w:textAlignment w:val="baseline"/>
        <w:rPr>
          <w:rFonts w:ascii="Verdana" w:hAnsi="Verdana" w:cs="Tahoma"/>
          <w:sz w:val="21"/>
          <w:szCs w:val="21"/>
        </w:rPr>
      </w:pPr>
      <w:r w:rsidRPr="002210C4">
        <w:rPr>
          <w:rFonts w:ascii="Verdana" w:hAnsi="Verdana" w:cs="Tahoma"/>
          <w:sz w:val="21"/>
          <w:szCs w:val="21"/>
        </w:rPr>
        <w:t>Respecto a lo anterior, el Magistrado Luis Ernesto Vargas Silva en sentencia T-023 de 2011 reiteró el criterio jurisprudencial de la Corte Constitucional al considerar:</w:t>
      </w:r>
    </w:p>
    <w:p w:rsidR="00404168" w:rsidRDefault="00404168" w:rsidP="00404168">
      <w:pPr>
        <w:overflowPunct w:val="0"/>
        <w:autoSpaceDE w:val="0"/>
        <w:autoSpaceDN w:val="0"/>
        <w:adjustRightInd w:val="0"/>
        <w:spacing w:after="200"/>
        <w:ind w:right="-6"/>
        <w:jc w:val="both"/>
        <w:textAlignment w:val="baseline"/>
        <w:rPr>
          <w:rFonts w:ascii="Verdana" w:hAnsi="Verdana"/>
          <w:i/>
          <w:sz w:val="20"/>
          <w:szCs w:val="20"/>
          <w:lang w:val="es-CO" w:eastAsia="es-CO"/>
        </w:rPr>
      </w:pPr>
      <w:r w:rsidRPr="00C32EA7">
        <w:rPr>
          <w:rFonts w:ascii="Verdana" w:hAnsi="Verdana"/>
          <w:i/>
          <w:sz w:val="20"/>
          <w:szCs w:val="20"/>
          <w:lang w:val="es-CO" w:eastAsia="es-CO"/>
        </w:rPr>
        <w:t>“De acuerdo con el artículo 86 de la Constitución Política la acción de tutela procederá siempre que “</w:t>
      </w:r>
      <w:r w:rsidRPr="00C32EA7">
        <w:rPr>
          <w:rFonts w:ascii="Verdana" w:hAnsi="Verdana"/>
          <w:i/>
          <w:iCs/>
          <w:sz w:val="20"/>
          <w:szCs w:val="20"/>
          <w:lang w:val="es-CO" w:eastAsia="es-CO"/>
        </w:rPr>
        <w:t>el afectado no disponga de otro medio de defensa judicial, salvo que aquélla se utilice como mecanismo transitorio para evitar un perjuicio irremediable</w:t>
      </w:r>
      <w:r w:rsidRPr="00C32EA7">
        <w:rPr>
          <w:rFonts w:ascii="Verdana" w:hAnsi="Verdana"/>
          <w:i/>
          <w:sz w:val="20"/>
          <w:szCs w:val="20"/>
          <w:lang w:val="es-CO" w:eastAsia="es-CO"/>
        </w:rPr>
        <w:t>”.</w:t>
      </w:r>
    </w:p>
    <w:p w:rsidR="00404168" w:rsidRPr="00C32EA7" w:rsidRDefault="00404168" w:rsidP="00404168">
      <w:pPr>
        <w:overflowPunct w:val="0"/>
        <w:autoSpaceDE w:val="0"/>
        <w:autoSpaceDN w:val="0"/>
        <w:adjustRightInd w:val="0"/>
        <w:spacing w:after="200"/>
        <w:ind w:right="-7"/>
        <w:jc w:val="both"/>
        <w:textAlignment w:val="baseline"/>
        <w:rPr>
          <w:rFonts w:ascii="Verdana" w:hAnsi="Verdana"/>
          <w:i/>
          <w:iCs/>
          <w:lang w:val="es-CO" w:eastAsia="es-CO"/>
        </w:rPr>
      </w:pPr>
      <w:r w:rsidRPr="00C32EA7">
        <w:rPr>
          <w:rFonts w:ascii="Verdana" w:hAnsi="Verdana"/>
          <w:i/>
          <w:sz w:val="20"/>
          <w:szCs w:val="20"/>
          <w:lang w:val="es-CO" w:eastAsia="es-CO"/>
        </w:rPr>
        <w:t>“</w:t>
      </w:r>
      <w:r>
        <w:rPr>
          <w:rFonts w:ascii="Verdana" w:hAnsi="Verdana"/>
          <w:i/>
          <w:sz w:val="20"/>
          <w:szCs w:val="20"/>
          <w:lang w:val="es-CO" w:eastAsia="es-CO"/>
        </w:rPr>
        <w:t>(…)</w:t>
      </w:r>
      <w:r w:rsidRPr="00C32EA7">
        <w:rPr>
          <w:rFonts w:ascii="Verdana" w:hAnsi="Verdana"/>
          <w:i/>
          <w:iCs/>
          <w:sz w:val="20"/>
          <w:szCs w:val="20"/>
          <w:lang w:val="es-CO" w:eastAsia="es-CO"/>
        </w:rPr>
        <w:t xml:space="preserve"> Así ha destacado en múltiples oportunidades</w:t>
      </w:r>
      <w:r w:rsidRPr="00C32EA7">
        <w:rPr>
          <w:rStyle w:val="Refdenotaalpie"/>
          <w:rFonts w:ascii="Verdana" w:hAnsi="Verdana"/>
          <w:i/>
          <w:iCs/>
          <w:lang w:val="es-CO" w:eastAsia="es-CO"/>
        </w:rPr>
        <w:footnoteReference w:id="1"/>
      </w:r>
      <w:r w:rsidRPr="00C32EA7">
        <w:rPr>
          <w:rFonts w:ascii="Verdana" w:hAnsi="Verdana"/>
          <w:i/>
          <w:iCs/>
          <w:sz w:val="20"/>
          <w:szCs w:val="20"/>
          <w:lang w:val="es-CO" w:eastAsia="es-CO"/>
        </w:rPr>
        <w:t xml:space="preserve"> que los medios y recursos judiciales ordinarios son el escenario preferente para invocar la protección de los derechos constitucionales fundamentales que se consideren vulnerados en una situación específica, y a ellos deben acudir, en principio, los afectados, a fin de hacer prevalecer la supremacía de estos derechos y el carácter inalienable que les confiere la Carta</w:t>
      </w:r>
      <w:r w:rsidRPr="00C32EA7">
        <w:rPr>
          <w:rStyle w:val="Refdenotaalpie"/>
          <w:rFonts w:ascii="Verdana" w:hAnsi="Verdana"/>
          <w:i/>
          <w:iCs/>
          <w:lang w:val="es-CO" w:eastAsia="es-CO"/>
        </w:rPr>
        <w:footnoteReference w:id="2"/>
      </w:r>
      <w:r w:rsidRPr="00C32EA7">
        <w:rPr>
          <w:rFonts w:ascii="Verdana" w:hAnsi="Verdana"/>
          <w:i/>
          <w:iCs/>
          <w:sz w:val="20"/>
          <w:szCs w:val="20"/>
          <w:lang w:val="es-CO" w:eastAsia="es-CO"/>
        </w:rPr>
        <w:t>. En consecuencia, la acción de tutela adquiere la condición de medio subsidiario, cuyo propósito no es el de desplazar a los otros mecanismos, sino el de fungir como último recurso orientado a suplir los vacíos de defensa que en determinadas circunstancias presenta el orden jurídico, en materia de protección de derechos fundamentales.”</w:t>
      </w:r>
    </w:p>
    <w:p w:rsidR="00404168" w:rsidRDefault="00404168" w:rsidP="00404168">
      <w:pPr>
        <w:overflowPunct w:val="0"/>
        <w:autoSpaceDE w:val="0"/>
        <w:autoSpaceDN w:val="0"/>
        <w:adjustRightInd w:val="0"/>
        <w:spacing w:after="200" w:line="254" w:lineRule="auto"/>
        <w:ind w:right="-7"/>
        <w:jc w:val="both"/>
        <w:textAlignment w:val="baseline"/>
        <w:rPr>
          <w:rFonts w:ascii="Verdana" w:hAnsi="Verdana"/>
          <w:sz w:val="20"/>
          <w:szCs w:val="20"/>
          <w:lang w:val="es-CO" w:eastAsia="es-CO"/>
        </w:rPr>
      </w:pPr>
      <w:r w:rsidRPr="002305A5">
        <w:rPr>
          <w:rFonts w:ascii="Verdana" w:hAnsi="Verdana"/>
          <w:iCs/>
          <w:sz w:val="21"/>
          <w:szCs w:val="21"/>
          <w:lang w:val="es-CO" w:eastAsia="es-CO"/>
        </w:rPr>
        <w:t>Teniendo presente lo citado, debe recalcarse que la protección de los derechos fundamentales no es exclusiva de la acción de tutela sino que es transversal a todo el ordenamiento y su garantía se debe proporcionar mediante todos los mecanismos de defensa judicial ordinarios existentes, pues el amparo constitucional es extraordinario. Sin embargo, el hecho de que exista un mecanismo de defensa alternativo no es suficiente para que se derive la improcedencia de la acción de tutela, pues</w:t>
      </w:r>
      <w:r w:rsidRPr="00C32EA7">
        <w:rPr>
          <w:rFonts w:ascii="Verdana" w:hAnsi="Verdana"/>
          <w:iCs/>
          <w:lang w:val="es-CO" w:eastAsia="es-CO"/>
        </w:rPr>
        <w:t xml:space="preserve"> </w:t>
      </w:r>
      <w:r w:rsidRPr="00C32EA7">
        <w:rPr>
          <w:rFonts w:ascii="Verdana" w:hAnsi="Verdana"/>
          <w:i/>
          <w:iCs/>
          <w:sz w:val="20"/>
          <w:szCs w:val="20"/>
          <w:lang w:val="es-CO" w:eastAsia="es-CO"/>
        </w:rPr>
        <w:t xml:space="preserve">“En aquellos eventos en que se establezca que el ordenamiento jurídico tiene previsto un medio ordinario de defensa judicial, corresponde al juez constitucional resolver dos cuestiones: la primera, consiste en determinar si el medio judicial alterno presenta la idoneidad y eficacia necesarias para la defensa de los derechos fundamentales. Si la </w:t>
      </w:r>
      <w:r w:rsidRPr="00C32EA7">
        <w:rPr>
          <w:rFonts w:ascii="Verdana" w:hAnsi="Verdana"/>
          <w:i/>
          <w:iCs/>
          <w:sz w:val="20"/>
          <w:szCs w:val="20"/>
          <w:lang w:val="es-CO" w:eastAsia="es-CO"/>
        </w:rPr>
        <w:lastRenderedPageBreak/>
        <w:t>respuesta a esa primera cuestión es positiva, debe abordarse la cuestión subsiguiente consistente en determinar si concurren los elementos del perjuicio irremediable, que conforme a la jurisprudencia legitiman el amparo transitorio</w:t>
      </w:r>
      <w:r w:rsidRPr="00C32EA7">
        <w:rPr>
          <w:rStyle w:val="Refdenotaalpie"/>
          <w:rFonts w:ascii="Verdana" w:hAnsi="Verdana"/>
          <w:i/>
          <w:iCs/>
          <w:lang w:val="es-CO" w:eastAsia="es-CO"/>
        </w:rPr>
        <w:footnoteReference w:id="3"/>
      </w:r>
      <w:r w:rsidRPr="00C32EA7">
        <w:rPr>
          <w:rFonts w:ascii="Verdana" w:hAnsi="Verdana"/>
          <w:i/>
          <w:iCs/>
          <w:sz w:val="20"/>
          <w:szCs w:val="20"/>
          <w:lang w:val="es-CO" w:eastAsia="es-CO"/>
        </w:rPr>
        <w:t>.</w:t>
      </w:r>
      <w:r w:rsidRPr="00C32EA7">
        <w:rPr>
          <w:rFonts w:ascii="Verdana" w:hAnsi="Verdana"/>
          <w:sz w:val="20"/>
          <w:szCs w:val="20"/>
          <w:lang w:val="es-CO" w:eastAsia="es-CO"/>
        </w:rPr>
        <w:t>”</w:t>
      </w:r>
    </w:p>
    <w:p w:rsidR="00404168" w:rsidRDefault="00404168" w:rsidP="00404168">
      <w:pPr>
        <w:overflowPunct w:val="0"/>
        <w:autoSpaceDE w:val="0"/>
        <w:autoSpaceDN w:val="0"/>
        <w:adjustRightInd w:val="0"/>
        <w:spacing w:after="200" w:line="264" w:lineRule="auto"/>
        <w:ind w:right="-7"/>
        <w:jc w:val="both"/>
        <w:textAlignment w:val="baseline"/>
        <w:rPr>
          <w:rFonts w:ascii="Verdana" w:hAnsi="Verdana"/>
          <w:sz w:val="20"/>
          <w:szCs w:val="20"/>
          <w:lang w:val="es-CO" w:eastAsia="es-CO"/>
        </w:rPr>
      </w:pPr>
      <w:r>
        <w:rPr>
          <w:rFonts w:ascii="Verdana" w:hAnsi="Verdana"/>
          <w:sz w:val="20"/>
          <w:szCs w:val="20"/>
          <w:lang w:val="es-CO" w:eastAsia="es-CO"/>
        </w:rPr>
        <w:t xml:space="preserve">Asimismo, sobre el empleo de la acción de tutela como mecanismo para evitar un perjuicio irremediable </w:t>
      </w:r>
      <w:proofErr w:type="gramStart"/>
      <w:r>
        <w:rPr>
          <w:rFonts w:ascii="Verdana" w:hAnsi="Verdana"/>
          <w:sz w:val="20"/>
          <w:szCs w:val="20"/>
          <w:lang w:val="es-CO" w:eastAsia="es-CO"/>
        </w:rPr>
        <w:t>la</w:t>
      </w:r>
      <w:proofErr w:type="gramEnd"/>
      <w:r>
        <w:rPr>
          <w:rFonts w:ascii="Verdana" w:hAnsi="Verdana"/>
          <w:sz w:val="20"/>
          <w:szCs w:val="20"/>
          <w:lang w:val="es-CO" w:eastAsia="es-CO"/>
        </w:rPr>
        <w:t xml:space="preserve"> H. Corte Constitucional en sentencia T-001 de abril 03 de 1992, señalo:</w:t>
      </w:r>
    </w:p>
    <w:p w:rsidR="00404168" w:rsidRPr="000B0806" w:rsidRDefault="00404168" w:rsidP="00404168">
      <w:pPr>
        <w:spacing w:after="200"/>
        <w:jc w:val="both"/>
        <w:rPr>
          <w:rFonts w:ascii="Verdana" w:hAnsi="Verdana"/>
          <w:i/>
          <w:color w:val="2D2D2D"/>
          <w:sz w:val="20"/>
          <w:szCs w:val="20"/>
          <w:shd w:val="clear" w:color="auto" w:fill="FFFFFF"/>
          <w:lang w:val="es-CO"/>
        </w:rPr>
      </w:pPr>
      <w:r w:rsidRPr="000B0806">
        <w:rPr>
          <w:rFonts w:ascii="Verdana" w:hAnsi="Verdana"/>
          <w:i/>
          <w:sz w:val="20"/>
          <w:szCs w:val="20"/>
          <w:lang w:val="es-CO" w:eastAsia="es-CO"/>
        </w:rPr>
        <w:t>“</w:t>
      </w:r>
      <w:r w:rsidRPr="000B0806">
        <w:rPr>
          <w:rFonts w:ascii="Verdana" w:hAnsi="Verdana"/>
          <w:i/>
          <w:color w:val="2D2D2D"/>
          <w:sz w:val="20"/>
          <w:szCs w:val="20"/>
          <w:shd w:val="clear" w:color="auto" w:fill="FFFFFF"/>
          <w:lang w:val="es-CO"/>
        </w:rPr>
        <w:t>Tiene, pues, esta institución, como dos de sus caracteres distintivos esenciales (los de mayor relevancia para efectos de considerar el tema que ahora se dilucida) los de la subsidiariedad y la inmediatez; el primero por cuanto tan solo resulta procedente instaurar la acción cuando el afectado no disponga de otro medio de defensa judicial, a no ser que busque evitar un perjuicio irremediable (</w:t>
      </w:r>
      <w:r w:rsidRPr="000B0806">
        <w:rPr>
          <w:rFonts w:ascii="Verdana" w:hAnsi="Verdana"/>
          <w:i/>
          <w:sz w:val="20"/>
          <w:szCs w:val="20"/>
          <w:lang w:val="es-CO"/>
        </w:rPr>
        <w:t>artículo 86, inciso 3</w:t>
      </w:r>
      <w:r w:rsidRPr="000B0806">
        <w:rPr>
          <w:rFonts w:ascii="Verdana" w:hAnsi="Verdana"/>
          <w:i/>
          <w:color w:val="2D2D2D"/>
          <w:sz w:val="20"/>
          <w:szCs w:val="20"/>
          <w:shd w:val="clear" w:color="auto" w:fill="FFFFFF"/>
          <w:lang w:val="es-CO"/>
        </w:rPr>
        <w:t>, </w:t>
      </w:r>
      <w:r w:rsidRPr="000B0806">
        <w:rPr>
          <w:rFonts w:ascii="Verdana" w:hAnsi="Verdana"/>
          <w:i/>
          <w:sz w:val="20"/>
          <w:szCs w:val="20"/>
          <w:lang w:val="es-CO"/>
        </w:rPr>
        <w:t>Constitución</w:t>
      </w:r>
      <w:r w:rsidRPr="000B0806">
        <w:rPr>
          <w:rFonts w:ascii="Verdana" w:hAnsi="Verdana"/>
          <w:i/>
          <w:color w:val="2D2D2D"/>
          <w:sz w:val="20"/>
          <w:szCs w:val="20"/>
          <w:shd w:val="clear" w:color="auto" w:fill="FFFFFF"/>
          <w:lang w:val="es-CO"/>
        </w:rPr>
        <w:t> Política); el segundo, puesto que no se trata de un proceso sino de un remedio de aplicación urgente que se hace preciso administrar en guarda de la efectividad concreta y actual del derecho sujeto a violación o amenaza.</w:t>
      </w:r>
      <w:r>
        <w:rPr>
          <w:rFonts w:ascii="Verdana" w:hAnsi="Verdana"/>
          <w:i/>
          <w:color w:val="2D2D2D"/>
          <w:sz w:val="20"/>
          <w:szCs w:val="20"/>
          <w:shd w:val="clear" w:color="auto" w:fill="FFFFFF"/>
          <w:lang w:val="es-CO"/>
        </w:rPr>
        <w:t>”</w:t>
      </w:r>
    </w:p>
    <w:p w:rsidR="00404168" w:rsidRPr="002305A5" w:rsidRDefault="00404168" w:rsidP="00404168">
      <w:pPr>
        <w:overflowPunct w:val="0"/>
        <w:autoSpaceDE w:val="0"/>
        <w:autoSpaceDN w:val="0"/>
        <w:adjustRightInd w:val="0"/>
        <w:spacing w:after="200" w:line="264" w:lineRule="auto"/>
        <w:ind w:right="-7"/>
        <w:jc w:val="both"/>
        <w:textAlignment w:val="baseline"/>
        <w:rPr>
          <w:rFonts w:ascii="Verdana" w:hAnsi="Verdana"/>
          <w:b/>
          <w:bCs/>
          <w:sz w:val="21"/>
          <w:szCs w:val="21"/>
          <w:bdr w:val="none" w:sz="0" w:space="0" w:color="auto" w:frame="1"/>
          <w:lang w:val="es-CO" w:eastAsia="es-CO"/>
        </w:rPr>
      </w:pPr>
      <w:r w:rsidRPr="002305A5">
        <w:rPr>
          <w:rFonts w:ascii="Verdana" w:hAnsi="Verdana"/>
          <w:b/>
          <w:bCs/>
          <w:sz w:val="21"/>
          <w:szCs w:val="21"/>
          <w:bdr w:val="none" w:sz="0" w:space="0" w:color="auto" w:frame="1"/>
          <w:lang w:val="es-CO" w:eastAsia="es-CO"/>
        </w:rPr>
        <w:t>Carácter principal o subsidiario de la tutela y la necesaria acreditación o evidencia de un inminente perjuicio irremediable sobre el derecho fundamental vulnerado.</w:t>
      </w:r>
    </w:p>
    <w:p w:rsidR="00404168" w:rsidRDefault="00404168" w:rsidP="00404168">
      <w:pPr>
        <w:overflowPunct w:val="0"/>
        <w:autoSpaceDE w:val="0"/>
        <w:autoSpaceDN w:val="0"/>
        <w:adjustRightInd w:val="0"/>
        <w:spacing w:after="200"/>
        <w:ind w:right="-6"/>
        <w:jc w:val="both"/>
        <w:textAlignment w:val="baseline"/>
        <w:rPr>
          <w:rFonts w:ascii="Verdana" w:hAnsi="Verdana"/>
          <w:i/>
          <w:sz w:val="20"/>
          <w:szCs w:val="20"/>
          <w:bdr w:val="none" w:sz="0" w:space="0" w:color="auto" w:frame="1"/>
          <w:lang w:val="es-CO" w:eastAsia="es-CO"/>
        </w:rPr>
      </w:pPr>
      <w:r w:rsidRPr="00C32EA7">
        <w:rPr>
          <w:rFonts w:ascii="Verdana" w:hAnsi="Verdana"/>
          <w:i/>
          <w:sz w:val="20"/>
          <w:szCs w:val="20"/>
          <w:bdr w:val="none" w:sz="0" w:space="0" w:color="auto" w:frame="1"/>
          <w:lang w:val="es-CO" w:eastAsia="es-CO"/>
        </w:rPr>
        <w:t>“También son ingredientes propios de la procedibilidad objetiva, que la tutela sea o bien la acción principal o única existente para proteger el derecho vulnerado para el caso en concreto, o bien deba operar como herramienta judicial constitucional de carácter </w:t>
      </w:r>
      <w:r w:rsidRPr="00C32EA7">
        <w:rPr>
          <w:rFonts w:ascii="Verdana" w:hAnsi="Verdana"/>
          <w:bCs/>
          <w:i/>
          <w:sz w:val="20"/>
          <w:szCs w:val="20"/>
          <w:bdr w:val="none" w:sz="0" w:space="0" w:color="auto" w:frame="1"/>
          <w:lang w:val="es-CO" w:eastAsia="es-CO"/>
        </w:rPr>
        <w:t>subsidiario</w:t>
      </w:r>
      <w:r w:rsidRPr="00C32EA7">
        <w:rPr>
          <w:rFonts w:ascii="Verdana" w:hAnsi="Verdana"/>
          <w:i/>
          <w:sz w:val="20"/>
          <w:szCs w:val="20"/>
          <w:bdr w:val="none" w:sz="0" w:space="0" w:color="auto" w:frame="1"/>
          <w:lang w:val="es-CO" w:eastAsia="es-CO"/>
        </w:rPr>
        <w:t>. Lo anterior, explicaba, entre otras decisiones, la sentencia SU-1070 de 2003, en razón a que: “</w:t>
      </w:r>
      <w:r w:rsidRPr="00C32EA7">
        <w:rPr>
          <w:rFonts w:ascii="Verdana" w:hAnsi="Verdana"/>
          <w:i/>
          <w:iCs/>
          <w:sz w:val="20"/>
          <w:szCs w:val="20"/>
          <w:bdr w:val="none" w:sz="0" w:space="0" w:color="auto" w:frame="1"/>
          <w:lang w:val="es-CO" w:eastAsia="es-CO"/>
        </w:rPr>
        <w:t xml:space="preserve">1º) Los medios y recursos judiciales ordinarios constituyen los mecanismos preferentes a los cuales deben acudir las personas para invocar la protección de sus derechos; 2º) En los procesos ordinarios se debe garantizar la supremacía de los derechos constitucionales y la primacía de los derechos inalienables de la persona (C.P. arts. 4º </w:t>
      </w:r>
      <w:proofErr w:type="gramStart"/>
      <w:r w:rsidRPr="00C32EA7">
        <w:rPr>
          <w:rFonts w:ascii="Verdana" w:hAnsi="Verdana"/>
          <w:i/>
          <w:iCs/>
          <w:sz w:val="20"/>
          <w:szCs w:val="20"/>
          <w:bdr w:val="none" w:sz="0" w:space="0" w:color="auto" w:frame="1"/>
          <w:lang w:val="es-CO" w:eastAsia="es-CO"/>
        </w:rPr>
        <w:t>y</w:t>
      </w:r>
      <w:proofErr w:type="gramEnd"/>
      <w:r w:rsidRPr="00C32EA7">
        <w:rPr>
          <w:rFonts w:ascii="Verdana" w:hAnsi="Verdana"/>
          <w:i/>
          <w:iCs/>
          <w:sz w:val="20"/>
          <w:szCs w:val="20"/>
          <w:bdr w:val="none" w:sz="0" w:space="0" w:color="auto" w:frame="1"/>
          <w:lang w:val="es-CO" w:eastAsia="es-CO"/>
        </w:rPr>
        <w:t xml:space="preserve"> 5º); 3º) La tutela adquiere el carácter de mecanismo subsidiario frente a los restantes medios de defensa judicial; su objeto no es desplazar los otros mecanismos de protección judicial, ´sino fungir como último recurso (...) para lograr la protección de los derechos fundamentales’; </w:t>
      </w:r>
      <w:r w:rsidRPr="00C32EA7">
        <w:rPr>
          <w:rFonts w:ascii="Verdana" w:hAnsi="Verdana"/>
          <w:i/>
          <w:sz w:val="20"/>
          <w:szCs w:val="20"/>
          <w:bdr w:val="none" w:sz="0" w:space="0" w:color="auto" w:frame="1"/>
          <w:lang w:val="es-CO" w:eastAsia="es-CO"/>
        </w:rPr>
        <w:t>y</w:t>
      </w:r>
      <w:r w:rsidRPr="00C32EA7">
        <w:rPr>
          <w:rFonts w:ascii="Verdana" w:hAnsi="Verdana"/>
          <w:i/>
          <w:iCs/>
          <w:sz w:val="20"/>
          <w:szCs w:val="20"/>
          <w:bdr w:val="none" w:sz="0" w:space="0" w:color="auto" w:frame="1"/>
          <w:lang w:val="es-CO" w:eastAsia="es-CO"/>
        </w:rPr>
        <w:t> 4º) La protección de derechos constitucionales fundamentales es un asunto reservado a la tutela, en la medida que el ordenamiento jurídico no ofrezca al afectado otros medios de defensa judicial”</w:t>
      </w:r>
      <w:r w:rsidRPr="00C32EA7">
        <w:rPr>
          <w:rFonts w:ascii="Verdana" w:hAnsi="Verdana"/>
          <w:i/>
          <w:sz w:val="20"/>
          <w:szCs w:val="20"/>
          <w:bdr w:val="none" w:sz="0" w:space="0" w:color="auto" w:frame="1"/>
          <w:lang w:val="es-CO" w:eastAsia="es-CO"/>
        </w:rPr>
        <w:t>.</w:t>
      </w:r>
    </w:p>
    <w:p w:rsidR="00404168" w:rsidRPr="004A0554" w:rsidRDefault="00404168" w:rsidP="00404168">
      <w:pPr>
        <w:overflowPunct w:val="0"/>
        <w:autoSpaceDE w:val="0"/>
        <w:autoSpaceDN w:val="0"/>
        <w:adjustRightInd w:val="0"/>
        <w:spacing w:after="200"/>
        <w:ind w:right="-6"/>
        <w:jc w:val="both"/>
        <w:textAlignment w:val="baseline"/>
        <w:rPr>
          <w:rFonts w:ascii="Verdana" w:hAnsi="Verdana"/>
          <w:sz w:val="20"/>
          <w:szCs w:val="20"/>
          <w:bdr w:val="none" w:sz="0" w:space="0" w:color="auto" w:frame="1"/>
          <w:lang w:val="es-CO" w:eastAsia="es-CO"/>
        </w:rPr>
      </w:pPr>
      <w:r w:rsidRPr="004A0554">
        <w:rPr>
          <w:rFonts w:ascii="Verdana" w:hAnsi="Verdana"/>
          <w:i/>
          <w:sz w:val="20"/>
          <w:szCs w:val="20"/>
          <w:bdr w:val="none" w:sz="0" w:space="0" w:color="auto" w:frame="1"/>
          <w:lang w:val="es-CO" w:eastAsia="es-CO"/>
        </w:rPr>
        <w:t xml:space="preserve">“Ahora bien, </w:t>
      </w:r>
      <w:r w:rsidRPr="001B26F9">
        <w:rPr>
          <w:rFonts w:ascii="Verdana" w:hAnsi="Verdana"/>
          <w:i/>
          <w:sz w:val="20"/>
          <w:szCs w:val="20"/>
          <w:u w:val="single"/>
          <w:bdr w:val="none" w:sz="0" w:space="0" w:color="auto" w:frame="1"/>
          <w:lang w:val="es-CO" w:eastAsia="es-CO"/>
        </w:rPr>
        <w:t>la existencia de otros medios y recursos judiciales ordinarios para la protección de los derechos fundamentales, no es óbice para ejercer la acción de tutela</w:t>
      </w:r>
      <w:r w:rsidRPr="001B26F9">
        <w:rPr>
          <w:rFonts w:ascii="Verdana" w:hAnsi="Verdana"/>
          <w:i/>
          <w:sz w:val="20"/>
          <w:szCs w:val="20"/>
          <w:bdr w:val="none" w:sz="0" w:space="0" w:color="auto" w:frame="1"/>
          <w:lang w:val="es-CO" w:eastAsia="es-CO"/>
        </w:rPr>
        <w:t>.</w:t>
      </w:r>
      <w:r w:rsidRPr="004A0554">
        <w:rPr>
          <w:rFonts w:ascii="Verdana" w:hAnsi="Verdana"/>
          <w:i/>
          <w:sz w:val="20"/>
          <w:szCs w:val="20"/>
          <w:bdr w:val="none" w:sz="0" w:space="0" w:color="auto" w:frame="1"/>
          <w:lang w:val="es-CO" w:eastAsia="es-CO"/>
        </w:rPr>
        <w:t xml:space="preserve"> Como se ha establecido en decantada jurisprudencia, por ejemplo en la sentencia T-997 de 2007, </w:t>
      </w:r>
      <w:r w:rsidRPr="001B26F9">
        <w:rPr>
          <w:rFonts w:ascii="Verdana" w:hAnsi="Verdana"/>
          <w:i/>
          <w:sz w:val="20"/>
          <w:szCs w:val="20"/>
          <w:u w:val="single"/>
          <w:bdr w:val="none" w:sz="0" w:space="0" w:color="auto" w:frame="1"/>
          <w:lang w:val="es-CO" w:eastAsia="es-CO"/>
        </w:rPr>
        <w:t>en determinados casos </w:t>
      </w:r>
      <w:r w:rsidRPr="001B26F9">
        <w:rPr>
          <w:rFonts w:ascii="Verdana" w:hAnsi="Verdana"/>
          <w:i/>
          <w:iCs/>
          <w:sz w:val="20"/>
          <w:szCs w:val="20"/>
          <w:u w:val="single"/>
          <w:bdr w:val="none" w:sz="0" w:space="0" w:color="auto" w:frame="1"/>
          <w:lang w:val="es-CO" w:eastAsia="es-CO"/>
        </w:rPr>
        <w:t>“en que existan medios de protección ordinarios al alcance del actor, la acción de tutela será procedente si el juez constitucional logra determinar que:</w:t>
      </w:r>
      <w:r w:rsidRPr="004A0554">
        <w:rPr>
          <w:rFonts w:ascii="Verdana" w:hAnsi="Verdana"/>
          <w:i/>
          <w:iCs/>
          <w:sz w:val="20"/>
          <w:szCs w:val="20"/>
          <w:bdr w:val="none" w:sz="0" w:space="0" w:color="auto" w:frame="1"/>
          <w:lang w:val="es-CO" w:eastAsia="es-CO"/>
        </w:rPr>
        <w:t xml:space="preserve"> (i) los mecanismos y recursos ordinarios de defensa </w:t>
      </w:r>
      <w:r w:rsidRPr="004A0554">
        <w:rPr>
          <w:rFonts w:ascii="Verdana" w:hAnsi="Verdana"/>
          <w:bCs/>
          <w:i/>
          <w:iCs/>
          <w:sz w:val="20"/>
          <w:szCs w:val="20"/>
          <w:bdr w:val="none" w:sz="0" w:space="0" w:color="auto" w:frame="1"/>
          <w:lang w:val="es-CO" w:eastAsia="es-CO"/>
        </w:rPr>
        <w:t>no son suficientemente idóneos y eficaces</w:t>
      </w:r>
      <w:r w:rsidRPr="004A0554">
        <w:rPr>
          <w:rFonts w:ascii="Verdana" w:hAnsi="Verdana"/>
          <w:i/>
          <w:iCs/>
          <w:sz w:val="20"/>
          <w:szCs w:val="20"/>
          <w:bdr w:val="none" w:sz="0" w:space="0" w:color="auto" w:frame="1"/>
          <w:lang w:val="es-CO" w:eastAsia="es-CO"/>
        </w:rPr>
        <w:t xml:space="preserve"> para garantizar la protección de los derechos presuntamente vulnerados; (ii) </w:t>
      </w:r>
      <w:r w:rsidRPr="001B26F9">
        <w:rPr>
          <w:rFonts w:ascii="Verdana" w:hAnsi="Verdana"/>
          <w:i/>
          <w:iCs/>
          <w:sz w:val="20"/>
          <w:szCs w:val="20"/>
          <w:u w:val="single"/>
          <w:bdr w:val="none" w:sz="0" w:space="0" w:color="auto" w:frame="1"/>
          <w:lang w:val="es-CO" w:eastAsia="es-CO"/>
        </w:rPr>
        <w:t xml:space="preserve">se requiere el amparo constitucional como </w:t>
      </w:r>
      <w:r w:rsidRPr="001B26F9">
        <w:rPr>
          <w:rFonts w:ascii="Verdana" w:hAnsi="Verdana"/>
          <w:bCs/>
          <w:i/>
          <w:iCs/>
          <w:sz w:val="20"/>
          <w:szCs w:val="20"/>
          <w:u w:val="single"/>
          <w:bdr w:val="none" w:sz="0" w:space="0" w:color="auto" w:frame="1"/>
          <w:lang w:val="es-CO" w:eastAsia="es-CO"/>
        </w:rPr>
        <w:t>mecanismo transitorio</w:t>
      </w:r>
      <w:r w:rsidRPr="001B26F9">
        <w:rPr>
          <w:rFonts w:ascii="Verdana" w:hAnsi="Verdana"/>
          <w:i/>
          <w:iCs/>
          <w:sz w:val="20"/>
          <w:szCs w:val="20"/>
          <w:u w:val="single"/>
          <w:bdr w:val="none" w:sz="0" w:space="0" w:color="auto" w:frame="1"/>
          <w:lang w:val="es-CO" w:eastAsia="es-CO"/>
        </w:rPr>
        <w:t>, pues de lo contrario, el actor se vería frente a la ocurrencia inminente de un </w:t>
      </w:r>
      <w:r w:rsidRPr="001B26F9">
        <w:rPr>
          <w:rFonts w:ascii="Verdana" w:hAnsi="Verdana"/>
          <w:bCs/>
          <w:i/>
          <w:iCs/>
          <w:sz w:val="20"/>
          <w:szCs w:val="20"/>
          <w:u w:val="single"/>
          <w:bdr w:val="none" w:sz="0" w:space="0" w:color="auto" w:frame="1"/>
          <w:lang w:val="es-CO" w:eastAsia="es-CO"/>
        </w:rPr>
        <w:t>perjuicio irremediable</w:t>
      </w:r>
      <w:r w:rsidRPr="004A0554">
        <w:rPr>
          <w:rFonts w:ascii="Verdana" w:hAnsi="Verdana"/>
          <w:i/>
          <w:iCs/>
          <w:sz w:val="20"/>
          <w:szCs w:val="20"/>
          <w:bdr w:val="none" w:sz="0" w:space="0" w:color="auto" w:frame="1"/>
          <w:lang w:val="es-CO" w:eastAsia="es-CO"/>
        </w:rPr>
        <w:t> (…).</w:t>
      </w:r>
      <w:r w:rsidRPr="004A0554">
        <w:rPr>
          <w:rFonts w:ascii="Verdana" w:hAnsi="Verdana"/>
          <w:i/>
          <w:sz w:val="20"/>
          <w:szCs w:val="20"/>
          <w:bdr w:val="none" w:sz="0" w:space="0" w:color="auto" w:frame="1"/>
          <w:lang w:val="es-CO" w:eastAsia="es-CO"/>
        </w:rPr>
        <w:t>”</w:t>
      </w:r>
      <w:r w:rsidRPr="004A0554">
        <w:rPr>
          <w:rFonts w:ascii="Verdana" w:hAnsi="Verdana"/>
          <w:sz w:val="20"/>
          <w:szCs w:val="20"/>
          <w:bdr w:val="none" w:sz="0" w:space="0" w:color="auto" w:frame="1"/>
          <w:lang w:val="es-CO" w:eastAsia="es-CO"/>
        </w:rPr>
        <w:t xml:space="preserve"> (Sentencia T-275 de 2012) (Subraya el Juzgado).</w:t>
      </w:r>
    </w:p>
    <w:p w:rsidR="00F1748F" w:rsidRDefault="00F1748F" w:rsidP="00F1748F">
      <w:pPr>
        <w:jc w:val="both"/>
        <w:rPr>
          <w:rFonts w:ascii="Arial" w:hAnsi="Arial"/>
          <w:sz w:val="24"/>
        </w:rPr>
      </w:pPr>
      <w:r>
        <w:rPr>
          <w:rFonts w:ascii="Arial" w:hAnsi="Arial"/>
          <w:noProof/>
          <w:sz w:val="24"/>
          <w:lang w:val="es-CO" w:eastAsia="es-CO"/>
        </w:rPr>
        <w:drawing>
          <wp:inline distT="0" distB="0" distL="0" distR="0" wp14:anchorId="012679F1" wp14:editId="3C20CA00">
            <wp:extent cx="1380666" cy="714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9299" cy="724016"/>
                    </a:xfrm>
                    <a:prstGeom prst="rect">
                      <a:avLst/>
                    </a:prstGeom>
                    <a:noFill/>
                    <a:ln>
                      <a:noFill/>
                    </a:ln>
                  </pic:spPr>
                </pic:pic>
              </a:graphicData>
            </a:graphic>
          </wp:inline>
        </w:drawing>
      </w:r>
    </w:p>
    <w:p w:rsidR="00F1748F" w:rsidRDefault="00F1748F" w:rsidP="00F1748F">
      <w:pPr>
        <w:jc w:val="both"/>
        <w:rPr>
          <w:rFonts w:ascii="Arial" w:hAnsi="Arial"/>
          <w:b/>
          <w:sz w:val="24"/>
        </w:rPr>
      </w:pPr>
      <w:r>
        <w:rPr>
          <w:rFonts w:ascii="Arial" w:hAnsi="Arial"/>
          <w:b/>
          <w:sz w:val="24"/>
        </w:rPr>
        <w:t>PATRICIA GONZALEZ CARRILLO</w:t>
      </w:r>
    </w:p>
    <w:p w:rsidR="007E5A34" w:rsidRPr="00F1748F" w:rsidRDefault="00F1748F" w:rsidP="00F1748F">
      <w:pPr>
        <w:jc w:val="both"/>
        <w:rPr>
          <w:rFonts w:ascii="Arial" w:hAnsi="Arial"/>
          <w:b/>
          <w:sz w:val="24"/>
        </w:rPr>
      </w:pPr>
      <w:r>
        <w:rPr>
          <w:rFonts w:ascii="Arial" w:hAnsi="Arial"/>
          <w:b/>
          <w:sz w:val="24"/>
        </w:rPr>
        <w:t>Trabajadora Social</w:t>
      </w:r>
    </w:p>
    <w:sectPr w:rsidR="007E5A34" w:rsidRPr="00F1748F" w:rsidSect="005D34A8">
      <w:pgSz w:w="12240" w:h="20160" w:code="5"/>
      <w:pgMar w:top="1418" w:right="1701" w:bottom="3232"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74A" w:rsidRDefault="0066474A" w:rsidP="007073C1">
      <w:pPr>
        <w:spacing w:after="0" w:line="240" w:lineRule="auto"/>
      </w:pPr>
      <w:r>
        <w:separator/>
      </w:r>
    </w:p>
  </w:endnote>
  <w:endnote w:type="continuationSeparator" w:id="0">
    <w:p w:rsidR="0066474A" w:rsidRDefault="0066474A" w:rsidP="0070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74A" w:rsidRDefault="0066474A" w:rsidP="007073C1">
      <w:pPr>
        <w:spacing w:after="0" w:line="240" w:lineRule="auto"/>
      </w:pPr>
      <w:r>
        <w:separator/>
      </w:r>
    </w:p>
  </w:footnote>
  <w:footnote w:type="continuationSeparator" w:id="0">
    <w:p w:rsidR="0066474A" w:rsidRDefault="0066474A" w:rsidP="007073C1">
      <w:pPr>
        <w:spacing w:after="0" w:line="240" w:lineRule="auto"/>
      </w:pPr>
      <w:r>
        <w:continuationSeparator/>
      </w:r>
    </w:p>
  </w:footnote>
  <w:footnote w:id="1">
    <w:p w:rsidR="00404168" w:rsidRPr="001B26F9" w:rsidRDefault="00404168" w:rsidP="00404168">
      <w:pPr>
        <w:pStyle w:val="Textonotapie"/>
        <w:contextualSpacing/>
        <w:jc w:val="both"/>
        <w:rPr>
          <w:rFonts w:ascii="Candara" w:hAnsi="Candara"/>
          <w:b/>
          <w:i/>
          <w:sz w:val="14"/>
          <w:szCs w:val="16"/>
          <w:lang w:val="es-CO"/>
        </w:rPr>
      </w:pPr>
      <w:r w:rsidRPr="001B26F9">
        <w:rPr>
          <w:rStyle w:val="Refdenotaalpie"/>
          <w:rFonts w:ascii="Candara" w:hAnsi="Candara"/>
          <w:b/>
          <w:i/>
          <w:sz w:val="14"/>
          <w:szCs w:val="16"/>
        </w:rPr>
        <w:footnoteRef/>
      </w:r>
      <w:r w:rsidRPr="001B26F9">
        <w:rPr>
          <w:rFonts w:ascii="Candara" w:hAnsi="Candara"/>
          <w:b/>
          <w:i/>
          <w:sz w:val="14"/>
          <w:szCs w:val="16"/>
        </w:rPr>
        <w:t xml:space="preserve"> </w:t>
      </w:r>
      <w:r w:rsidRPr="001B26F9">
        <w:rPr>
          <w:rFonts w:ascii="Candara" w:hAnsi="Candara"/>
          <w:b/>
          <w:i/>
          <w:sz w:val="14"/>
          <w:szCs w:val="16"/>
          <w:lang w:val="es-ES_tradnl"/>
        </w:rPr>
        <w:t xml:space="preserve">Sobre la procedencia de la acción de tutela como mecanismo transitorio, para evitar un perjuicio irremediable, resultan relevantes las sentencias C- 1225 de 2004, MP Manuel José Cepeda Espinosa; SU- 1070 de 2003, MP Jaime Córdoba Triviño; SU – 544 de 2001 MP Eduardo Montealegre </w:t>
      </w:r>
      <w:proofErr w:type="spellStart"/>
      <w:r w:rsidRPr="001B26F9">
        <w:rPr>
          <w:rFonts w:ascii="Candara" w:hAnsi="Candara"/>
          <w:b/>
          <w:i/>
          <w:sz w:val="14"/>
          <w:szCs w:val="16"/>
          <w:lang w:val="es-ES_tradnl"/>
        </w:rPr>
        <w:t>Lynett</w:t>
      </w:r>
      <w:proofErr w:type="spellEnd"/>
      <w:r w:rsidRPr="001B26F9">
        <w:rPr>
          <w:rFonts w:ascii="Candara" w:hAnsi="Candara"/>
          <w:b/>
          <w:i/>
          <w:sz w:val="14"/>
          <w:szCs w:val="16"/>
          <w:lang w:val="es-ES_tradnl"/>
        </w:rPr>
        <w:t>; T – 1670 de 2000 MP Carlos Gaviria Díaz, y desde luego la T – 225  de 1993 en la cual se sentaron las primeras directrices sobre la materia, que en esencia han sido desarrolladas por la jurisprudencia posterior.</w:t>
      </w:r>
    </w:p>
  </w:footnote>
  <w:footnote w:id="2">
    <w:p w:rsidR="00404168" w:rsidRPr="001B26F9" w:rsidRDefault="00404168" w:rsidP="00404168">
      <w:pPr>
        <w:pStyle w:val="Textonotapie"/>
        <w:contextualSpacing/>
        <w:jc w:val="both"/>
        <w:rPr>
          <w:rFonts w:ascii="Candara" w:hAnsi="Candara"/>
          <w:b/>
          <w:i/>
          <w:sz w:val="14"/>
          <w:szCs w:val="16"/>
          <w:lang w:val="es-CO"/>
        </w:rPr>
      </w:pPr>
      <w:r w:rsidRPr="001B26F9">
        <w:rPr>
          <w:rStyle w:val="Refdenotaalpie"/>
          <w:rFonts w:ascii="Candara" w:hAnsi="Candara"/>
          <w:b/>
          <w:i/>
          <w:sz w:val="14"/>
          <w:szCs w:val="16"/>
        </w:rPr>
        <w:footnoteRef/>
      </w:r>
      <w:r w:rsidRPr="001B26F9">
        <w:rPr>
          <w:rFonts w:ascii="Candara" w:hAnsi="Candara"/>
          <w:b/>
          <w:i/>
          <w:sz w:val="14"/>
          <w:szCs w:val="16"/>
        </w:rPr>
        <w:t xml:space="preserve"> </w:t>
      </w:r>
      <w:r w:rsidRPr="001B26F9">
        <w:rPr>
          <w:rFonts w:ascii="Candara" w:hAnsi="Candara"/>
          <w:b/>
          <w:i/>
          <w:sz w:val="14"/>
          <w:szCs w:val="16"/>
          <w:lang w:val="es-ES_tradnl"/>
        </w:rPr>
        <w:t>Cfr. T- 803 de 2002 MP Álvaro Tafur Galvis.</w:t>
      </w:r>
    </w:p>
  </w:footnote>
  <w:footnote w:id="3">
    <w:p w:rsidR="00404168" w:rsidRPr="00714DFA" w:rsidRDefault="00404168" w:rsidP="00404168">
      <w:pPr>
        <w:pStyle w:val="Textonotapie"/>
        <w:contextualSpacing/>
        <w:jc w:val="both"/>
        <w:rPr>
          <w:rFonts w:ascii="Candara" w:hAnsi="Candara"/>
          <w:b/>
          <w:i/>
          <w:sz w:val="16"/>
          <w:szCs w:val="16"/>
          <w:lang w:val="es-CO"/>
        </w:rPr>
      </w:pPr>
      <w:r w:rsidRPr="001B26F9">
        <w:rPr>
          <w:rStyle w:val="Refdenotaalpie"/>
          <w:rFonts w:ascii="Candara" w:hAnsi="Candara"/>
          <w:b/>
          <w:i/>
          <w:sz w:val="14"/>
          <w:szCs w:val="16"/>
        </w:rPr>
        <w:footnoteRef/>
      </w:r>
      <w:r w:rsidRPr="001B26F9">
        <w:rPr>
          <w:rFonts w:ascii="Candara" w:hAnsi="Candara"/>
          <w:b/>
          <w:i/>
          <w:sz w:val="14"/>
          <w:szCs w:val="16"/>
        </w:rPr>
        <w:t xml:space="preserve"> </w:t>
      </w:r>
      <w:r w:rsidRPr="001B26F9">
        <w:rPr>
          <w:rFonts w:ascii="Candara" w:hAnsi="Candara"/>
          <w:b/>
          <w:i/>
          <w:sz w:val="14"/>
          <w:szCs w:val="16"/>
          <w:lang w:val="es-ES_tradnl"/>
        </w:rPr>
        <w:t>Sentencia T-972/05.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8F"/>
    <w:rsid w:val="00091E51"/>
    <w:rsid w:val="000A19AC"/>
    <w:rsid w:val="000B5DB3"/>
    <w:rsid w:val="000D6901"/>
    <w:rsid w:val="00125141"/>
    <w:rsid w:val="001300A2"/>
    <w:rsid w:val="00173810"/>
    <w:rsid w:val="001E6FD9"/>
    <w:rsid w:val="001E73F3"/>
    <w:rsid w:val="001E7513"/>
    <w:rsid w:val="001F6EA6"/>
    <w:rsid w:val="00215EE1"/>
    <w:rsid w:val="00254205"/>
    <w:rsid w:val="00270B38"/>
    <w:rsid w:val="002752FE"/>
    <w:rsid w:val="002B10B5"/>
    <w:rsid w:val="002D4D83"/>
    <w:rsid w:val="002D6BA3"/>
    <w:rsid w:val="002E7B0D"/>
    <w:rsid w:val="0030716E"/>
    <w:rsid w:val="00313F12"/>
    <w:rsid w:val="00317326"/>
    <w:rsid w:val="00350BA4"/>
    <w:rsid w:val="003968B2"/>
    <w:rsid w:val="003E100F"/>
    <w:rsid w:val="003F6BDB"/>
    <w:rsid w:val="00404168"/>
    <w:rsid w:val="00420096"/>
    <w:rsid w:val="004245AD"/>
    <w:rsid w:val="00446AC2"/>
    <w:rsid w:val="00476C77"/>
    <w:rsid w:val="00497A72"/>
    <w:rsid w:val="004A56E1"/>
    <w:rsid w:val="00500423"/>
    <w:rsid w:val="0054585C"/>
    <w:rsid w:val="005644C5"/>
    <w:rsid w:val="005857C3"/>
    <w:rsid w:val="005A65FA"/>
    <w:rsid w:val="005B0051"/>
    <w:rsid w:val="005B1077"/>
    <w:rsid w:val="005B7632"/>
    <w:rsid w:val="00603EB8"/>
    <w:rsid w:val="006078E2"/>
    <w:rsid w:val="00635292"/>
    <w:rsid w:val="00655BAF"/>
    <w:rsid w:val="0066474A"/>
    <w:rsid w:val="006652EC"/>
    <w:rsid w:val="00667BA4"/>
    <w:rsid w:val="0067500F"/>
    <w:rsid w:val="00692731"/>
    <w:rsid w:val="006B7DF5"/>
    <w:rsid w:val="007073C1"/>
    <w:rsid w:val="00726190"/>
    <w:rsid w:val="007466EE"/>
    <w:rsid w:val="00763CD7"/>
    <w:rsid w:val="0077795D"/>
    <w:rsid w:val="007806D9"/>
    <w:rsid w:val="00783DEA"/>
    <w:rsid w:val="007B5ED9"/>
    <w:rsid w:val="00801598"/>
    <w:rsid w:val="008048F1"/>
    <w:rsid w:val="00827B1B"/>
    <w:rsid w:val="00834F7A"/>
    <w:rsid w:val="00840D7D"/>
    <w:rsid w:val="00842DC2"/>
    <w:rsid w:val="008737A5"/>
    <w:rsid w:val="008737D6"/>
    <w:rsid w:val="008A24DF"/>
    <w:rsid w:val="008C3F38"/>
    <w:rsid w:val="008F2A60"/>
    <w:rsid w:val="008F3BF6"/>
    <w:rsid w:val="00934E1A"/>
    <w:rsid w:val="009603E2"/>
    <w:rsid w:val="00965222"/>
    <w:rsid w:val="009760CF"/>
    <w:rsid w:val="009B69D1"/>
    <w:rsid w:val="009C5FA9"/>
    <w:rsid w:val="009D2C82"/>
    <w:rsid w:val="00A222F8"/>
    <w:rsid w:val="00A535F3"/>
    <w:rsid w:val="00A91B3D"/>
    <w:rsid w:val="00AA00BB"/>
    <w:rsid w:val="00AF242E"/>
    <w:rsid w:val="00BA167E"/>
    <w:rsid w:val="00BA23B5"/>
    <w:rsid w:val="00BB2516"/>
    <w:rsid w:val="00BB3386"/>
    <w:rsid w:val="00BE6CBE"/>
    <w:rsid w:val="00C15674"/>
    <w:rsid w:val="00C2693E"/>
    <w:rsid w:val="00C35987"/>
    <w:rsid w:val="00C40EDE"/>
    <w:rsid w:val="00C628CF"/>
    <w:rsid w:val="00CA6287"/>
    <w:rsid w:val="00CE47E8"/>
    <w:rsid w:val="00D03B9F"/>
    <w:rsid w:val="00D14857"/>
    <w:rsid w:val="00D4504D"/>
    <w:rsid w:val="00D6769C"/>
    <w:rsid w:val="00D91F15"/>
    <w:rsid w:val="00DB69C2"/>
    <w:rsid w:val="00DB6C67"/>
    <w:rsid w:val="00DD24C9"/>
    <w:rsid w:val="00DD2E21"/>
    <w:rsid w:val="00DE325A"/>
    <w:rsid w:val="00E25C68"/>
    <w:rsid w:val="00E324B7"/>
    <w:rsid w:val="00E625FD"/>
    <w:rsid w:val="00E96477"/>
    <w:rsid w:val="00F1639D"/>
    <w:rsid w:val="00F1748F"/>
    <w:rsid w:val="00F30FCE"/>
    <w:rsid w:val="00F545C2"/>
    <w:rsid w:val="00F56E8B"/>
    <w:rsid w:val="00F91F57"/>
    <w:rsid w:val="00FA2C2B"/>
    <w:rsid w:val="00FA5B7B"/>
    <w:rsid w:val="00FB7242"/>
    <w:rsid w:val="00FC22C3"/>
    <w:rsid w:val="00FF5012"/>
    <w:rsid w:val="00FF5F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8F501-D833-4546-BC91-7E4F3900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8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redeterminado">
    <w:name w:val="Texto predeterminado"/>
    <w:basedOn w:val="Normal"/>
    <w:rsid w:val="00F1748F"/>
    <w:pPr>
      <w:widowControl w:val="0"/>
      <w:spacing w:after="0" w:line="240" w:lineRule="auto"/>
    </w:pPr>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1748F"/>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semiHidden/>
    <w:rsid w:val="00F1748F"/>
    <w:rPr>
      <w:rFonts w:ascii="Arial" w:eastAsia="Times New Roman" w:hAnsi="Arial" w:cs="Arial"/>
      <w:sz w:val="24"/>
      <w:szCs w:val="24"/>
      <w:lang w:val="es-ES" w:eastAsia="es-ES"/>
    </w:rPr>
  </w:style>
  <w:style w:type="paragraph" w:styleId="Encabezado">
    <w:name w:val="header"/>
    <w:basedOn w:val="Normal"/>
    <w:link w:val="EncabezadoCar"/>
    <w:rsid w:val="005857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5857C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07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73C1"/>
    <w:rPr>
      <w:lang w:val="es-ES"/>
    </w:rPr>
  </w:style>
  <w:style w:type="character" w:customStyle="1" w:styleId="TextonotapieCar1">
    <w:name w:val="Texto nota pie Car1"/>
    <w:aliases w:val="f Car,Footnote Text Char Char Char Char Char Car,Footnote Text Char Char Char Char Car,Footnote reference Car,FA Fu Car,Footnote Text Char Char Char Car,Footnote Text Char Car,texto de nota al pi Car,texto de nota al pie Car,ft Car"/>
    <w:link w:val="Textonotapie"/>
    <w:locked/>
    <w:rsid w:val="00404168"/>
    <w:rPr>
      <w:lang w:val="es-ES"/>
    </w:rPr>
  </w:style>
  <w:style w:type="character" w:styleId="Refdenotaalpie">
    <w:name w:val="footnote reference"/>
    <w:aliases w:val="Texto de nota al pie,referencia nota al pie,Footnotes refss,Appel note de bas de page,FC,Texto nota pie Car2,texto de nota al pi Car1"/>
    <w:unhideWhenUsed/>
    <w:rsid w:val="00404168"/>
    <w:rPr>
      <w:vertAlign w:val="superscript"/>
    </w:rPr>
  </w:style>
  <w:style w:type="paragraph" w:styleId="Textonotapie">
    <w:name w:val="footnote text"/>
    <w:aliases w:val="f,Footnote Text Char Char Char Char Char,Footnote Text Char Char Char Char,Footnote reference,FA Fu,Footnote Text Char Char Char,Footnote Text Char,texto de nota al pi,texto de nota al pie,Ref. de nota al pie1,Footnote refe,ft,F,BVI fnr,R"/>
    <w:basedOn w:val="Normal"/>
    <w:link w:val="TextonotapieCar1"/>
    <w:qFormat/>
    <w:rsid w:val="00404168"/>
    <w:pPr>
      <w:spacing w:after="0" w:line="240" w:lineRule="auto"/>
    </w:pPr>
  </w:style>
  <w:style w:type="character" w:customStyle="1" w:styleId="TextonotapieCar">
    <w:name w:val="Texto nota pie Car"/>
    <w:basedOn w:val="Fuentedeprrafopredeter"/>
    <w:uiPriority w:val="99"/>
    <w:semiHidden/>
    <w:rsid w:val="00404168"/>
    <w:rPr>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4388</TotalTime>
  <Pages>4</Pages>
  <Words>1747</Words>
  <Characters>9610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J1Flia_Asis</dc:creator>
  <cp:keywords/>
  <dc:description/>
  <cp:lastModifiedBy>Patricia Gonzalez Carrillo</cp:lastModifiedBy>
  <cp:revision>8</cp:revision>
  <dcterms:created xsi:type="dcterms:W3CDTF">2019-05-10T20:23:00Z</dcterms:created>
  <dcterms:modified xsi:type="dcterms:W3CDTF">2019-05-13T22:22:00Z</dcterms:modified>
</cp:coreProperties>
</file>