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1D0" w:rsidRDefault="002A629E" w:rsidP="00EB0680">
      <w:pPr>
        <w:jc w:val="both"/>
      </w:pPr>
      <w:r>
        <w:t>Eduardo Xavier – 18/0031422</w:t>
      </w:r>
    </w:p>
    <w:p w:rsidR="002A629E" w:rsidRDefault="002A629E" w:rsidP="00EB0680">
      <w:pPr>
        <w:jc w:val="both"/>
        <w:rPr>
          <w:b/>
        </w:rPr>
      </w:pPr>
      <w:r>
        <w:rPr>
          <w:b/>
        </w:rPr>
        <w:t>Relato de visita técnica à PCH Paranoá</w:t>
      </w:r>
    </w:p>
    <w:p w:rsidR="002A629E" w:rsidRDefault="002A629E" w:rsidP="00EB0680">
      <w:pPr>
        <w:jc w:val="both"/>
      </w:pPr>
      <w:r>
        <w:rPr>
          <w:b/>
        </w:rPr>
        <w:tab/>
      </w:r>
      <w:r>
        <w:t>Localizada no lago Paranoá, a PCH iniciou sua operação em 1962. Esta PCH possui 30 MW de capacidade instalada, sendo sua garantia física, de acordo com a ANEEL, de 13 MW [1].</w:t>
      </w:r>
    </w:p>
    <w:p w:rsidR="0022525E" w:rsidRDefault="002A629E" w:rsidP="00EB0680">
      <w:pPr>
        <w:jc w:val="both"/>
      </w:pPr>
      <w:r>
        <w:tab/>
        <w:t>A visita técnica que é objeto deste relatório ocorreu no dia 24/04/2019 durante a disciplina de máquinas de fluido. Na referente data, a usina encontrava-se em pleno funcionamento, sendo destacado pelo técnico da CEB o critério de operação da usina em função da cota do lago Paranoá</w:t>
      </w:r>
      <w:r w:rsidR="0022525E">
        <w:t>. O reservatório da usina possui cota mínima operacional de 999,8 m</w:t>
      </w:r>
      <w:r w:rsidR="00BF2753">
        <w:t>etros</w:t>
      </w:r>
      <w:r w:rsidR="0022525E">
        <w:t xml:space="preserve"> acima do nível do mar e cota máxima de 1000,8</w:t>
      </w:r>
      <w:r w:rsidR="00BF2753">
        <w:t xml:space="preserve"> </w:t>
      </w:r>
      <w:r w:rsidR="0022525E">
        <w:t>m</w:t>
      </w:r>
      <w:r w:rsidR="00BF2753">
        <w:t>etros</w:t>
      </w:r>
      <w:r w:rsidR="0022525E">
        <w:t xml:space="preserve"> acima do nível do mar. </w:t>
      </w:r>
    </w:p>
    <w:p w:rsidR="0022525E" w:rsidRDefault="0022525E" w:rsidP="00EB0680">
      <w:pPr>
        <w:jc w:val="both"/>
      </w:pPr>
      <w:r>
        <w:tab/>
        <w:t>Esta usina é composta de três unidades geradoras</w:t>
      </w:r>
      <w:r w:rsidR="00BF2753">
        <w:t xml:space="preserve"> (</w:t>
      </w:r>
      <w:proofErr w:type="spellStart"/>
      <w:r w:rsidR="00BF2753">
        <w:t>UGs</w:t>
      </w:r>
      <w:proofErr w:type="spellEnd"/>
      <w:r w:rsidR="00BF2753">
        <w:t>)</w:t>
      </w:r>
      <w:r>
        <w:t xml:space="preserve"> de 10 MW cada, do tipo </w:t>
      </w:r>
      <w:proofErr w:type="spellStart"/>
      <w:r>
        <w:t>francis</w:t>
      </w:r>
      <w:proofErr w:type="spellEnd"/>
      <w:r>
        <w:t>. A Figura 1 apresenta as especificações de uma dessas unidades geradoras</w:t>
      </w:r>
      <w:r w:rsidR="00E35818">
        <w:t xml:space="preserve"> e a Figura 2 apresenta a visão externa das 3 </w:t>
      </w:r>
      <w:proofErr w:type="gramStart"/>
      <w:r w:rsidR="00E35818">
        <w:t xml:space="preserve">UGS </w:t>
      </w:r>
      <w:r>
        <w:t>.</w:t>
      </w:r>
      <w:proofErr w:type="gramEnd"/>
    </w:p>
    <w:p w:rsidR="00E35818" w:rsidRDefault="00E35818" w:rsidP="00EB0680">
      <w:pPr>
        <w:keepNext/>
        <w:jc w:val="both"/>
      </w:pPr>
      <w:r>
        <w:rPr>
          <w:noProof/>
          <w:lang w:eastAsia="pt-BR"/>
        </w:rPr>
        <w:drawing>
          <wp:inline distT="0" distB="0" distL="0" distR="0">
            <wp:extent cx="5130800" cy="3848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424_10463722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18" w:rsidRDefault="00E35818" w:rsidP="00EB0680">
      <w:pPr>
        <w:pStyle w:val="Legenda"/>
        <w:jc w:val="both"/>
        <w:rPr>
          <w:rFonts w:ascii="Times New Roman" w:hAnsi="Times New Roman" w:cs="Times New Roman"/>
          <w:b/>
          <w:i w:val="0"/>
          <w:sz w:val="20"/>
          <w:szCs w:val="20"/>
        </w:rPr>
      </w:pPr>
      <w:r w:rsidRPr="00E35818">
        <w:rPr>
          <w:rFonts w:ascii="Times New Roman" w:hAnsi="Times New Roman" w:cs="Times New Roman"/>
          <w:b/>
          <w:i w:val="0"/>
          <w:sz w:val="20"/>
          <w:szCs w:val="20"/>
        </w:rPr>
        <w:t xml:space="preserve">Figura </w:t>
      </w:r>
      <w:r w:rsidRPr="00E35818">
        <w:rPr>
          <w:rFonts w:ascii="Times New Roman" w:hAnsi="Times New Roman" w:cs="Times New Roman"/>
          <w:b/>
          <w:i w:val="0"/>
          <w:sz w:val="20"/>
          <w:szCs w:val="20"/>
        </w:rPr>
        <w:fldChar w:fldCharType="begin"/>
      </w:r>
      <w:r w:rsidRPr="00E35818">
        <w:rPr>
          <w:rFonts w:ascii="Times New Roman" w:hAnsi="Times New Roman" w:cs="Times New Roman"/>
          <w:b/>
          <w:i w:val="0"/>
          <w:sz w:val="20"/>
          <w:szCs w:val="20"/>
        </w:rPr>
        <w:instrText xml:space="preserve"> SEQ Figura \* ARABIC </w:instrText>
      </w:r>
      <w:r w:rsidRPr="00E35818">
        <w:rPr>
          <w:rFonts w:ascii="Times New Roman" w:hAnsi="Times New Roman" w:cs="Times New Roman"/>
          <w:b/>
          <w:i w:val="0"/>
          <w:sz w:val="20"/>
          <w:szCs w:val="20"/>
        </w:rPr>
        <w:fldChar w:fldCharType="separate"/>
      </w:r>
      <w:r w:rsidR="007806E7">
        <w:rPr>
          <w:rFonts w:ascii="Times New Roman" w:hAnsi="Times New Roman" w:cs="Times New Roman"/>
          <w:b/>
          <w:i w:val="0"/>
          <w:noProof/>
          <w:sz w:val="20"/>
          <w:szCs w:val="20"/>
        </w:rPr>
        <w:t>1</w:t>
      </w:r>
      <w:r w:rsidRPr="00E35818">
        <w:rPr>
          <w:rFonts w:ascii="Times New Roman" w:hAnsi="Times New Roman" w:cs="Times New Roman"/>
          <w:b/>
          <w:i w:val="0"/>
          <w:sz w:val="20"/>
          <w:szCs w:val="20"/>
        </w:rPr>
        <w:fldChar w:fldCharType="end"/>
      </w:r>
      <w:r w:rsidRPr="00E35818">
        <w:rPr>
          <w:rFonts w:ascii="Times New Roman" w:hAnsi="Times New Roman" w:cs="Times New Roman"/>
          <w:b/>
          <w:i w:val="0"/>
          <w:sz w:val="20"/>
          <w:szCs w:val="20"/>
        </w:rPr>
        <w:t>. Especificações de uma UG</w:t>
      </w:r>
      <w:r>
        <w:rPr>
          <w:rFonts w:ascii="Times New Roman" w:hAnsi="Times New Roman" w:cs="Times New Roman"/>
          <w:b/>
          <w:i w:val="0"/>
          <w:sz w:val="20"/>
          <w:szCs w:val="20"/>
        </w:rPr>
        <w:t>.</w:t>
      </w:r>
    </w:p>
    <w:p w:rsidR="007806E7" w:rsidRPr="007806E7" w:rsidRDefault="007806E7" w:rsidP="00EB0680">
      <w:pPr>
        <w:keepNext/>
        <w:jc w:val="both"/>
      </w:pPr>
      <w:r w:rsidRPr="007806E7">
        <w:rPr>
          <w:noProof/>
          <w:lang w:eastAsia="pt-BR"/>
        </w:rPr>
        <w:lastRenderedPageBreak/>
        <w:drawing>
          <wp:inline distT="0" distB="0" distL="0" distR="0">
            <wp:extent cx="5400040" cy="5848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424_102417861_HDR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E7" w:rsidRPr="007806E7" w:rsidRDefault="007806E7" w:rsidP="00EB0680">
      <w:pPr>
        <w:pStyle w:val="Legenda"/>
        <w:jc w:val="center"/>
        <w:rPr>
          <w:rFonts w:ascii="Arial" w:hAnsi="Arial" w:cs="Arial"/>
          <w:b/>
          <w:i w:val="0"/>
          <w:color w:val="auto"/>
          <w:sz w:val="20"/>
          <w:szCs w:val="20"/>
        </w:rPr>
      </w:pPr>
      <w:r w:rsidRPr="007806E7">
        <w:rPr>
          <w:rFonts w:ascii="Arial" w:hAnsi="Arial" w:cs="Arial"/>
          <w:b/>
          <w:i w:val="0"/>
          <w:color w:val="auto"/>
          <w:sz w:val="20"/>
          <w:szCs w:val="20"/>
        </w:rPr>
        <w:t xml:space="preserve">Figura </w:t>
      </w:r>
      <w:r w:rsidRPr="007806E7">
        <w:rPr>
          <w:rFonts w:ascii="Arial" w:hAnsi="Arial" w:cs="Arial"/>
          <w:b/>
          <w:i w:val="0"/>
          <w:color w:val="auto"/>
          <w:sz w:val="20"/>
          <w:szCs w:val="20"/>
        </w:rPr>
        <w:fldChar w:fldCharType="begin"/>
      </w:r>
      <w:r w:rsidRPr="007806E7">
        <w:rPr>
          <w:rFonts w:ascii="Arial" w:hAnsi="Arial" w:cs="Arial"/>
          <w:b/>
          <w:i w:val="0"/>
          <w:color w:val="auto"/>
          <w:sz w:val="20"/>
          <w:szCs w:val="20"/>
        </w:rPr>
        <w:instrText xml:space="preserve"> SEQ Figura \* ARABIC </w:instrText>
      </w:r>
      <w:r w:rsidRPr="007806E7">
        <w:rPr>
          <w:rFonts w:ascii="Arial" w:hAnsi="Arial" w:cs="Arial"/>
          <w:b/>
          <w:i w:val="0"/>
          <w:color w:val="auto"/>
          <w:sz w:val="20"/>
          <w:szCs w:val="20"/>
        </w:rPr>
        <w:fldChar w:fldCharType="separate"/>
      </w:r>
      <w:r>
        <w:rPr>
          <w:rFonts w:ascii="Arial" w:hAnsi="Arial" w:cs="Arial"/>
          <w:b/>
          <w:i w:val="0"/>
          <w:noProof/>
          <w:color w:val="auto"/>
          <w:sz w:val="20"/>
          <w:szCs w:val="20"/>
        </w:rPr>
        <w:t>2</w:t>
      </w:r>
      <w:r w:rsidRPr="007806E7">
        <w:rPr>
          <w:rFonts w:ascii="Arial" w:hAnsi="Arial" w:cs="Arial"/>
          <w:b/>
          <w:i w:val="0"/>
          <w:color w:val="auto"/>
          <w:sz w:val="20"/>
          <w:szCs w:val="20"/>
        </w:rPr>
        <w:fldChar w:fldCharType="end"/>
      </w:r>
      <w:r w:rsidRPr="007806E7">
        <w:rPr>
          <w:rFonts w:ascii="Arial" w:hAnsi="Arial" w:cs="Arial"/>
          <w:b/>
          <w:i w:val="0"/>
          <w:color w:val="auto"/>
          <w:sz w:val="20"/>
          <w:szCs w:val="20"/>
        </w:rPr>
        <w:t xml:space="preserve">. Visão externa das 3 </w:t>
      </w:r>
      <w:proofErr w:type="spellStart"/>
      <w:r w:rsidRPr="007806E7">
        <w:rPr>
          <w:rFonts w:ascii="Arial" w:hAnsi="Arial" w:cs="Arial"/>
          <w:b/>
          <w:i w:val="0"/>
          <w:color w:val="auto"/>
          <w:sz w:val="20"/>
          <w:szCs w:val="20"/>
        </w:rPr>
        <w:t>UGs</w:t>
      </w:r>
      <w:proofErr w:type="spellEnd"/>
    </w:p>
    <w:p w:rsidR="002A629E" w:rsidRDefault="0022525E" w:rsidP="00EB0680">
      <w:pPr>
        <w:jc w:val="both"/>
      </w:pPr>
      <w:r>
        <w:tab/>
        <w:t>Ao contrário de muitas usinas hidrelétricas, a PCH Paranoá possui uma particularidade. A água chega até a casa de máquinas através de uma tubulação de aproximadamente 1km entre o reservatório e a casa de máquinas, proporcionando cerca de 100m de altura de queda.</w:t>
      </w:r>
    </w:p>
    <w:p w:rsidR="0022525E" w:rsidRDefault="0022525E" w:rsidP="00EB0680">
      <w:pPr>
        <w:jc w:val="both"/>
      </w:pPr>
      <w:r>
        <w:tab/>
        <w:t>Além da geração de energia, a PCH tem papel fundamental no controle do nível do lago Paranoá, sendo, muitas vezes, solicitado à CEB a abertura das comportas para que o controle do nível seja feito. A exemplo do que aconteceu em fevereiro de 2018 [2].</w:t>
      </w:r>
    </w:p>
    <w:p w:rsidR="0022525E" w:rsidRDefault="0022525E" w:rsidP="00EB0680">
      <w:pPr>
        <w:jc w:val="both"/>
      </w:pPr>
      <w:r>
        <w:tab/>
      </w:r>
      <w:r w:rsidR="00BF2753">
        <w:t xml:space="preserve">A usina está localizada na bacia do rio Paranoá e deve garantir o nível mínimo de </w:t>
      </w:r>
      <w:r w:rsidR="00E35818">
        <w:t>75 cm para o curso do rio a jusante da usina</w:t>
      </w:r>
      <w:r w:rsidR="00BF2753">
        <w:t xml:space="preserve">, sendo verificada vazão </w:t>
      </w:r>
      <w:proofErr w:type="spellStart"/>
      <w:r w:rsidR="00BF2753">
        <w:t>defluente</w:t>
      </w:r>
      <w:proofErr w:type="spellEnd"/>
      <w:r w:rsidR="00BF2753">
        <w:t xml:space="preserve"> de cerca de 30 m³/s quando as três </w:t>
      </w:r>
      <w:proofErr w:type="spellStart"/>
      <w:r w:rsidR="00BF2753">
        <w:t>UGs</w:t>
      </w:r>
      <w:proofErr w:type="spellEnd"/>
      <w:r w:rsidR="00BF2753">
        <w:t xml:space="preserve"> estão operando. A área inundada para a cota máxima é de, aproximadamente, 39 km², contudo, a usina é a fio d’água.</w:t>
      </w:r>
    </w:p>
    <w:p w:rsidR="00BF2753" w:rsidRDefault="00BF2753" w:rsidP="00EB0680">
      <w:pPr>
        <w:jc w:val="both"/>
      </w:pPr>
      <w:r>
        <w:lastRenderedPageBreak/>
        <w:tab/>
        <w:t>Devido ao fato de essa usina ser antiga, o rendimento das unidades geradoras já não é o melhor, e isso pode-se observar na sala de operação, onde a maioria dos equipamentos ainda é analógico</w:t>
      </w:r>
      <w:r w:rsidR="007806E7">
        <w:t xml:space="preserve"> (Figura 3)</w:t>
      </w:r>
      <w:r>
        <w:t>.</w:t>
      </w:r>
    </w:p>
    <w:p w:rsidR="007806E7" w:rsidRDefault="007806E7" w:rsidP="00EB0680">
      <w:pPr>
        <w:keepNext/>
        <w:jc w:val="both"/>
      </w:pPr>
      <w:r>
        <w:rPr>
          <w:noProof/>
          <w:lang w:eastAsia="pt-BR"/>
        </w:rPr>
        <w:drawing>
          <wp:inline distT="0" distB="0" distL="0" distR="0">
            <wp:extent cx="5400040" cy="4050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424_10081622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E7" w:rsidRPr="007806E7" w:rsidRDefault="007806E7" w:rsidP="00EB0680">
      <w:pPr>
        <w:pStyle w:val="Legenda"/>
        <w:jc w:val="center"/>
        <w:rPr>
          <w:rFonts w:ascii="Arial" w:hAnsi="Arial" w:cs="Arial"/>
          <w:b/>
          <w:i w:val="0"/>
          <w:color w:val="auto"/>
          <w:sz w:val="20"/>
        </w:rPr>
      </w:pPr>
      <w:r w:rsidRPr="007806E7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7806E7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7806E7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7806E7">
        <w:rPr>
          <w:rFonts w:ascii="Arial" w:hAnsi="Arial" w:cs="Arial"/>
          <w:b/>
          <w:i w:val="0"/>
          <w:color w:val="auto"/>
          <w:sz w:val="20"/>
        </w:rPr>
        <w:fldChar w:fldCharType="separate"/>
      </w:r>
      <w:r>
        <w:rPr>
          <w:rFonts w:ascii="Arial" w:hAnsi="Arial" w:cs="Arial"/>
          <w:b/>
          <w:i w:val="0"/>
          <w:noProof/>
          <w:color w:val="auto"/>
          <w:sz w:val="20"/>
        </w:rPr>
        <w:t>3</w:t>
      </w:r>
      <w:r w:rsidRPr="007806E7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7806E7">
        <w:rPr>
          <w:rFonts w:ascii="Arial" w:hAnsi="Arial" w:cs="Arial"/>
          <w:b/>
          <w:i w:val="0"/>
          <w:color w:val="auto"/>
          <w:sz w:val="20"/>
        </w:rPr>
        <w:t>. Sala de operação.</w:t>
      </w:r>
    </w:p>
    <w:p w:rsidR="00BF2753" w:rsidRDefault="00BF2753" w:rsidP="00EB0680">
      <w:pPr>
        <w:jc w:val="both"/>
      </w:pPr>
      <w:r>
        <w:tab/>
        <w:t xml:space="preserve">A geração média anual desta PCH, de acordo com a CCEE, é de aproximadamente 113.000 </w:t>
      </w:r>
      <w:proofErr w:type="spellStart"/>
      <w:r>
        <w:t>MWh</w:t>
      </w:r>
      <w:proofErr w:type="spellEnd"/>
      <w:r>
        <w:t xml:space="preserve">, </w:t>
      </w:r>
      <w:r w:rsidR="00E35818">
        <w:t xml:space="preserve">gerando cerca de 2% da energia consumida no Distrito Federal. Essa usina atende, principalmente, as regiões administrativas do Paranoá e de São Sebastião através de duas linhas de transmissão, porém há uma terceira linha de transmissão conectada à Subestação Brasília Centro. As três linhas possuem tensão de 13,2 </w:t>
      </w:r>
      <w:r w:rsidR="007806E7">
        <w:t>kV</w:t>
      </w:r>
      <w:r w:rsidR="00E35818">
        <w:t>.</w:t>
      </w:r>
    </w:p>
    <w:p w:rsidR="00E35818" w:rsidRDefault="00E35818">
      <w:r>
        <w:tab/>
        <w:t>Abaixo encontram-se mais imagens da visita técnica.</w:t>
      </w:r>
    </w:p>
    <w:p w:rsidR="007806E7" w:rsidRDefault="007806E7" w:rsidP="007806E7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36AFA896" wp14:editId="0BE3457B">
            <wp:extent cx="5400040" cy="5410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424_102400308_HDR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61"/>
                    <a:stretch/>
                  </pic:blipFill>
                  <pic:spPr bwMode="auto">
                    <a:xfrm>
                      <a:off x="0" y="0"/>
                      <a:ext cx="5400040" cy="541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6E7" w:rsidRDefault="007806E7" w:rsidP="007806E7">
      <w:pPr>
        <w:pStyle w:val="Legenda"/>
        <w:jc w:val="center"/>
        <w:rPr>
          <w:rFonts w:ascii="Arial" w:hAnsi="Arial" w:cs="Arial"/>
          <w:b/>
          <w:i w:val="0"/>
          <w:color w:val="auto"/>
          <w:sz w:val="20"/>
        </w:rPr>
      </w:pPr>
      <w:r w:rsidRPr="007806E7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7806E7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7806E7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7806E7">
        <w:rPr>
          <w:rFonts w:ascii="Arial" w:hAnsi="Arial" w:cs="Arial"/>
          <w:b/>
          <w:i w:val="0"/>
          <w:color w:val="auto"/>
          <w:sz w:val="20"/>
        </w:rPr>
        <w:fldChar w:fldCharType="separate"/>
      </w:r>
      <w:r>
        <w:rPr>
          <w:rFonts w:ascii="Arial" w:hAnsi="Arial" w:cs="Arial"/>
          <w:b/>
          <w:i w:val="0"/>
          <w:noProof/>
          <w:color w:val="auto"/>
          <w:sz w:val="20"/>
        </w:rPr>
        <w:t>4</w:t>
      </w:r>
      <w:r w:rsidRPr="007806E7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7806E7">
        <w:rPr>
          <w:rFonts w:ascii="Arial" w:hAnsi="Arial" w:cs="Arial"/>
          <w:b/>
          <w:i w:val="0"/>
          <w:color w:val="auto"/>
          <w:sz w:val="20"/>
        </w:rPr>
        <w:t>. Transformador da PCH Paranoá.</w:t>
      </w:r>
    </w:p>
    <w:p w:rsidR="007806E7" w:rsidRPr="007806E7" w:rsidRDefault="007806E7" w:rsidP="007806E7">
      <w:pPr>
        <w:keepNext/>
        <w:jc w:val="center"/>
        <w:rPr>
          <w:rFonts w:ascii="Arial" w:hAnsi="Arial" w:cs="Arial"/>
          <w:b/>
          <w:sz w:val="24"/>
        </w:rPr>
      </w:pPr>
      <w:r w:rsidRPr="007806E7">
        <w:rPr>
          <w:rFonts w:ascii="Arial" w:hAnsi="Arial" w:cs="Arial"/>
          <w:b/>
          <w:noProof/>
          <w:sz w:val="24"/>
          <w:lang w:eastAsia="pt-BR"/>
        </w:rPr>
        <w:lastRenderedPageBreak/>
        <w:drawing>
          <wp:inline distT="0" distB="0" distL="0" distR="0">
            <wp:extent cx="5400040" cy="4552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424_10280014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E7" w:rsidRDefault="007806E7" w:rsidP="007806E7">
      <w:pPr>
        <w:pStyle w:val="Legenda"/>
        <w:jc w:val="center"/>
        <w:rPr>
          <w:rFonts w:ascii="Arial" w:hAnsi="Arial" w:cs="Arial"/>
          <w:b/>
          <w:i w:val="0"/>
          <w:color w:val="auto"/>
          <w:sz w:val="20"/>
        </w:rPr>
      </w:pPr>
      <w:r w:rsidRPr="007806E7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7806E7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7806E7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7806E7">
        <w:rPr>
          <w:rFonts w:ascii="Arial" w:hAnsi="Arial" w:cs="Arial"/>
          <w:b/>
          <w:i w:val="0"/>
          <w:color w:val="auto"/>
          <w:sz w:val="20"/>
        </w:rPr>
        <w:fldChar w:fldCharType="separate"/>
      </w:r>
      <w:r>
        <w:rPr>
          <w:rFonts w:ascii="Arial" w:hAnsi="Arial" w:cs="Arial"/>
          <w:b/>
          <w:i w:val="0"/>
          <w:noProof/>
          <w:color w:val="auto"/>
          <w:sz w:val="20"/>
        </w:rPr>
        <w:t>5</w:t>
      </w:r>
      <w:r w:rsidRPr="007806E7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7806E7">
        <w:rPr>
          <w:rFonts w:ascii="Arial" w:hAnsi="Arial" w:cs="Arial"/>
          <w:b/>
          <w:i w:val="0"/>
          <w:color w:val="auto"/>
          <w:sz w:val="20"/>
        </w:rPr>
        <w:t>. Interior de uma UG.</w:t>
      </w:r>
    </w:p>
    <w:p w:rsidR="007806E7" w:rsidRDefault="007806E7" w:rsidP="007806E7">
      <w:pPr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720026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0424_115654115_HD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06E7" w:rsidRPr="007806E7" w:rsidRDefault="007806E7" w:rsidP="007806E7">
      <w:pPr>
        <w:pStyle w:val="Legenda"/>
        <w:jc w:val="center"/>
        <w:rPr>
          <w:rFonts w:ascii="Arial" w:hAnsi="Arial" w:cs="Arial"/>
          <w:b/>
          <w:i w:val="0"/>
          <w:color w:val="auto"/>
          <w:sz w:val="20"/>
        </w:rPr>
      </w:pPr>
      <w:r w:rsidRPr="007806E7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7806E7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7806E7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7806E7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Pr="007806E7">
        <w:rPr>
          <w:rFonts w:ascii="Arial" w:hAnsi="Arial" w:cs="Arial"/>
          <w:b/>
          <w:i w:val="0"/>
          <w:noProof/>
          <w:color w:val="auto"/>
          <w:sz w:val="20"/>
        </w:rPr>
        <w:t>6</w:t>
      </w:r>
      <w:r w:rsidRPr="007806E7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7806E7">
        <w:rPr>
          <w:rFonts w:ascii="Arial" w:hAnsi="Arial" w:cs="Arial"/>
          <w:b/>
          <w:i w:val="0"/>
          <w:color w:val="auto"/>
          <w:sz w:val="20"/>
        </w:rPr>
        <w:t>. Saída da água para o rio Paranoá.</w:t>
      </w:r>
    </w:p>
    <w:p w:rsidR="00E35818" w:rsidRDefault="00E35818"/>
    <w:p w:rsidR="007806E7" w:rsidRDefault="007806E7">
      <w:pPr>
        <w:rPr>
          <w:b/>
        </w:rPr>
      </w:pPr>
      <w:r>
        <w:rPr>
          <w:b/>
        </w:rPr>
        <w:t>Referências:</w:t>
      </w:r>
    </w:p>
    <w:p w:rsidR="007806E7" w:rsidRDefault="007806E7">
      <w:r w:rsidRPr="007806E7">
        <w:t>[1]</w:t>
      </w:r>
      <w:r>
        <w:rPr>
          <w:b/>
        </w:rPr>
        <w:t xml:space="preserve"> Banco de informações de Geração da ANEEL. </w:t>
      </w:r>
      <w:r w:rsidRPr="007806E7">
        <w:t>Disponível em:</w:t>
      </w:r>
      <w:r>
        <w:rPr>
          <w:b/>
        </w:rPr>
        <w:t xml:space="preserve"> &lt;</w:t>
      </w:r>
      <w:r w:rsidRPr="007806E7">
        <w:t>http://www2.aneel.gov.br/aplicacoes/capacidadebrasil/energiaassegurada.asp</w:t>
      </w:r>
      <w:r>
        <w:t>&gt; Acesso em: 28/11/2019.</w:t>
      </w:r>
    </w:p>
    <w:p w:rsidR="007806E7" w:rsidRPr="007806E7" w:rsidRDefault="007806E7">
      <w:pPr>
        <w:rPr>
          <w:b/>
        </w:rPr>
      </w:pPr>
      <w:r>
        <w:lastRenderedPageBreak/>
        <w:t xml:space="preserve">[2] Agência Brasília: </w:t>
      </w:r>
      <w:r w:rsidR="00E16E80">
        <w:t>Volume máximo obriga abertura das comportas da hidrelétrica do Paranoá. Disponível em: &lt;</w:t>
      </w:r>
      <w:r w:rsidR="00E16E80" w:rsidRPr="00E16E80">
        <w:t>https://www.agenciabrasilia.df.gov.br/2018/02/08/volume-maximo-de-agua-obriga-abertura-das-comportas-da-hidreletrica-do-paranoa/</w:t>
      </w:r>
      <w:r w:rsidR="00E16E80">
        <w:t>&gt; Acesso em: 28/11/2019</w:t>
      </w:r>
    </w:p>
    <w:sectPr w:rsidR="007806E7" w:rsidRPr="007806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29E"/>
    <w:rsid w:val="00090DD7"/>
    <w:rsid w:val="0022525E"/>
    <w:rsid w:val="002A629E"/>
    <w:rsid w:val="006B282D"/>
    <w:rsid w:val="007806E7"/>
    <w:rsid w:val="008010AE"/>
    <w:rsid w:val="00BF2753"/>
    <w:rsid w:val="00C861D6"/>
    <w:rsid w:val="00E16E80"/>
    <w:rsid w:val="00E35818"/>
    <w:rsid w:val="00EB0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39D34"/>
  <w15:chartTrackingRefBased/>
  <w15:docId w15:val="{135C8FA9-E80E-4195-99DD-D86B133AC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E358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7806E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499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Vinicius Acunha Xavier</dc:creator>
  <cp:keywords/>
  <dc:description/>
  <cp:lastModifiedBy>Eduardo Vinicius Acunha Xavier</cp:lastModifiedBy>
  <cp:revision>2</cp:revision>
  <dcterms:created xsi:type="dcterms:W3CDTF">2019-11-28T11:36:00Z</dcterms:created>
  <dcterms:modified xsi:type="dcterms:W3CDTF">2019-11-28T12:32:00Z</dcterms:modified>
</cp:coreProperties>
</file>