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tcPr>
          <w:p>
            <w:r>
              <w:t>GUÍA DE DIAGNÓSTICO Y RESOLUCIÓN DE FALLAS DESDE EL ÁREA DE ATENCIÓN AL CLIENTE</w:t>
              <w:br/>
              <w:t>Área de Operaciones | Rapilink S.A.S</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Código</w:t>
            </w:r>
          </w:p>
        </w:tc>
        <w:tc>
          <w:tcPr>
            <w:tcW w:type="dxa" w:w="2160"/>
          </w:tcPr>
          <w:p>
            <w:r>
              <w:t>Versión</w:t>
            </w:r>
          </w:p>
        </w:tc>
        <w:tc>
          <w:tcPr>
            <w:tcW w:type="dxa" w:w="2160"/>
          </w:tcPr>
          <w:p>
            <w:r>
              <w:t>Fecha</w:t>
            </w:r>
          </w:p>
        </w:tc>
        <w:tc>
          <w:tcPr>
            <w:tcW w:type="dxa" w:w="2160"/>
          </w:tcPr>
          <w:p>
            <w:r>
              <w:t>Páginas</w:t>
            </w:r>
          </w:p>
        </w:tc>
      </w:tr>
      <w:tr>
        <w:tc>
          <w:tcPr>
            <w:tcW w:type="dxa" w:w="2160"/>
          </w:tcPr>
          <w:p>
            <w:r>
              <w:t>Por asignar</w:t>
            </w:r>
          </w:p>
        </w:tc>
        <w:tc>
          <w:tcPr>
            <w:tcW w:type="dxa" w:w="2160"/>
          </w:tcPr>
          <w:p>
            <w:r>
              <w:t>01</w:t>
            </w:r>
          </w:p>
        </w:tc>
        <w:tc>
          <w:tcPr>
            <w:tcW w:type="dxa" w:w="2160"/>
          </w:tcPr>
          <w:p>
            <w:r>
              <w:t>22 de Agosto 2026</w:t>
            </w:r>
          </w:p>
        </w:tc>
        <w:tc>
          <w:tcPr>
            <w:tcW w:type="dxa" w:w="2160"/>
          </w:tcPr>
          <w:p>
            <w:r>
              <w:t>Ver documento</w:t>
            </w:r>
          </w:p>
        </w:tc>
      </w:tr>
    </w:tbl>
    <w:p/>
    <w:p>
      <w:r>
        <w:rPr>
          <w:b/>
        </w:rPr>
        <w:t>BORRADOR — pendiente de revisión y aprobación.</w:t>
      </w:r>
    </w:p>
    <w:p>
      <w:r>
        <w:rPr>
          <w:b w:val="0"/>
        </w:rPr>
        <w:t>Este documento cubre el pendiente registrado en el PROCEDIMIENTO DE SOPORTE TÉCNICO vigente, donde figura como «Guía de Diagnóstico y Resolución de Fallas desde el Área de Atención al Cliente — Por Elaborar».</w:t>
      </w:r>
    </w:p>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OBJETIVO</w:t>
            </w:r>
          </w:p>
        </w:tc>
      </w:tr>
    </w:tbl>
    <w:p/>
    <w:p>
      <w:r>
        <w:rPr>
          <w:b w:val="0"/>
        </w:rPr>
        <w:t>Establecer qué acciones pueden solicitarse a un cliente que reporta una falla en su servicio, cuáles no deben solicitársele nunca, y en qué momento el caso deja de atenderse por esta vía y pasa a atención técnica.</w:t>
      </w:r>
    </w:p>
    <w:p>
      <w:r>
        <w:rPr>
          <w:b w:val="0"/>
        </w:rPr>
        <w:t>Aplica tanto al personal de atención como al asistente conversacional.</w:t>
      </w:r>
    </w:p>
    <w:p/>
    <w:tbl>
      <w:tblPr>
        <w:tblStyle w:val="TableGrid"/>
        <w:tblW w:type="auto" w:w="0"/>
        <w:tblLook w:firstColumn="1" w:firstRow="1" w:lastColumn="0" w:lastRow="0" w:noHBand="0" w:noVBand="1" w:val="04A0"/>
      </w:tblPr>
      <w:tblGrid>
        <w:gridCol w:w="4320"/>
        <w:gridCol w:w="4320"/>
      </w:tblGrid>
      <w:tr>
        <w:tc>
          <w:tcPr>
            <w:tcW w:type="dxa" w:w="4320"/>
          </w:tcPr>
          <w:p>
            <w:r>
              <w:t>2</w:t>
            </w:r>
          </w:p>
        </w:tc>
        <w:tc>
          <w:tcPr>
            <w:tcW w:type="dxa" w:w="4320"/>
          </w:tcPr>
          <w:p>
            <w:r>
              <w:t>ALCANCE</w:t>
            </w:r>
          </w:p>
        </w:tc>
      </w:tr>
    </w:tbl>
    <w:p/>
    <w:p>
      <w:r>
        <w:rPr>
          <w:b w:val="0"/>
        </w:rPr>
        <w:t>Aplica a la atención de clientes que reportan pérdida o afectación de su servicio de internet o televisión.</w:t>
      </w:r>
    </w:p>
    <w:p>
      <w:r>
        <w:rPr>
          <w:b w:val="0"/>
        </w:rPr>
        <w:t>No aplica al diagnóstico técnico de campo, a la intervención de red ni a la configuración de equipos: esas actividades conservan sus procedimientos actuales, en particular la G-GO-04, que está dirigida al técnico que se desplaza al domicilio.</w:t>
      </w:r>
    </w:p>
    <w:p/>
    <w:tbl>
      <w:tblPr>
        <w:tblStyle w:val="TableGrid"/>
        <w:tblW w:type="auto" w:w="0"/>
        <w:tblLook w:firstColumn="1" w:firstRow="1" w:lastColumn="0" w:lastRow="0" w:noHBand="0" w:noVBand="1" w:val="04A0"/>
      </w:tblPr>
      <w:tblGrid>
        <w:gridCol w:w="4320"/>
        <w:gridCol w:w="4320"/>
      </w:tblGrid>
      <w:tr>
        <w:tc>
          <w:tcPr>
            <w:tcW w:type="dxa" w:w="4320"/>
          </w:tcPr>
          <w:p>
            <w:r>
              <w:t>3</w:t>
            </w:r>
          </w:p>
        </w:tc>
        <w:tc>
          <w:tcPr>
            <w:tcW w:type="dxa" w:w="4320"/>
          </w:tcPr>
          <w:p>
            <w:r>
              <w:t>PRINCIPIO DE DIAGNÓSTICO</w:t>
            </w:r>
          </w:p>
        </w:tc>
      </w:tr>
    </w:tbl>
    <w:p/>
    <w:p>
      <w:r>
        <w:rPr>
          <w:b w:val="0"/>
        </w:rPr>
        <w:t>El estado técnico del servicio se determina consultando los sistemas de la empresa, no preguntándoselo al cliente. La empresa puede conocer por medios propios el estado del equipo instalado, la calidad de la señal que recibe, si el equipo responde, si hubo corte de energía en el domicilio y si el servicio de televisión está habilitado.</w:t>
      </w:r>
    </w:p>
    <w:p>
      <w:r>
        <w:rPr>
          <w:b w:val="0"/>
        </w:rPr>
        <w:t>Al cliente se le solicita únicamente información que los sistemas no puedan obtener por su cuenta.</w:t>
      </w:r>
    </w:p>
    <w:tbl>
      <w:tblPr>
        <w:tblStyle w:val="TableGrid"/>
        <w:tblW w:type="auto" w:w="0"/>
        <w:tblLook w:firstColumn="1" w:firstRow="1" w:lastColumn="0" w:lastRow="0" w:noHBand="0" w:noVBand="1" w:val="04A0"/>
      </w:tblPr>
      <w:tblGrid>
        <w:gridCol w:w="8640"/>
      </w:tblGrid>
      <w:tr>
        <w:tc>
          <w:tcPr>
            <w:tcW w:type="dxa" w:w="8640"/>
          </w:tcPr>
          <w:p>
            <w:r>
              <w:t>⚠️  Las reglas técnicas —qué nivel de señal es aceptable, en qué condiciones procede un reinicio remoto, cómo se determina la causa de una caída— están implementadas y validadas en el sistema, y NO se transcriben en este documento. Duplicarlas crearía dos versiones de la misma regla, y el día que una cambie la otra quedaría equivocada sin que nadie lo advierta.</w:t>
            </w:r>
          </w:p>
        </w:tc>
      </w:tr>
    </w:tbl>
    <w:p/>
    <w:tbl>
      <w:tblPr>
        <w:tblStyle w:val="TableGrid"/>
        <w:tblW w:type="auto" w:w="0"/>
        <w:tblLook w:firstColumn="1" w:firstRow="1" w:lastColumn="0" w:lastRow="0" w:noHBand="0" w:noVBand="1" w:val="04A0"/>
      </w:tblPr>
      <w:tblGrid>
        <w:gridCol w:w="4320"/>
        <w:gridCol w:w="4320"/>
      </w:tblGrid>
      <w:tr>
        <w:tc>
          <w:tcPr>
            <w:tcW w:type="dxa" w:w="4320"/>
          </w:tcPr>
          <w:p>
            <w:r>
              <w:t>4</w:t>
            </w:r>
          </w:p>
        </w:tc>
        <w:tc>
          <w:tcPr>
            <w:tcW w:type="dxa" w:w="4320"/>
          </w:tcPr>
          <w:p>
            <w:r>
              <w:t>ACCIONES QUE PUEDEN SOLICITARSE AL CLIENTE</w:t>
            </w:r>
          </w:p>
        </w:tc>
      </w:tr>
    </w:tbl>
    <w:p/>
    <w:p>
      <w:r>
        <w:rPr>
          <w:b/>
        </w:rPr>
        <w:t>4.1  Verificación de alimentación eléctrica</w:t>
      </w:r>
    </w:p>
    <w:p>
      <w:r>
        <w:rPr>
          <w:b w:val="0"/>
        </w:rPr>
        <w:t>Confirmar que el equipo está conectado a la corriente y que el adaptador está firme en el tomacorriente. Preguntar si hubo corte de luz en el domicilio o el sector, cuando no pueda determinarse por otros medios.</w:t>
      </w:r>
    </w:p>
    <w:p>
      <w:r>
        <w:rPr>
          <w:b w:val="0"/>
        </w:rPr>
        <w:t>No se le solicita abrir el adaptador, reemplazarlo ni manipular la instalación eléctrica de la vivienda.</w:t>
      </w:r>
    </w:p>
    <w:p/>
    <w:p>
      <w:r>
        <w:rPr>
          <w:b/>
        </w:rPr>
        <w:t>4.2  Verificación de cables a la vista</w:t>
      </w:r>
    </w:p>
    <w:p>
      <w:r>
        <w:rPr>
          <w:b w:val="0"/>
        </w:rPr>
        <w:t>Revisar que los cables que el cliente identifica con claridad —el que va al televisor o al computador, y el de corriente— estén firmes en su lugar. La verificación debe poder hacerse a simple vista y con la mano, sin herramientas.</w:t>
      </w:r>
    </w:p>
    <w:p>
      <w:r>
        <w:rPr>
          <w:b w:val="0"/>
        </w:rPr>
        <w:t>El cable de fibra óptica que entra al domicilio queda excluido y se trata en el numeral 5.</w:t>
      </w:r>
    </w:p>
    <w:p/>
    <w:p>
      <w:r>
        <w:rPr>
          <w:b/>
        </w:rPr>
        <w:t>4.3  Reinicio del equipo</w:t>
      </w:r>
    </w:p>
    <w:p>
      <w:r>
        <w:rPr>
          <w:b w:val="0"/>
        </w:rPr>
        <w:t>No se le solicita al cliente que reinicie su equipo. El reinicio se ejecuta de forma remota desde los sistemas de la empresa. No se le pide desconectarlo de la corriente, apagarlo y encenderlo, ni ninguna otra forma manual.</w:t>
      </w:r>
    </w:p>
    <w:p/>
    <w:p>
      <w:r>
        <w:rPr>
          <w:b/>
        </w:rPr>
        <w:t>4.4  Tiempo de espera tras una acción</w:t>
      </w:r>
    </w:p>
    <w:p>
      <w:r>
        <w:rPr>
          <w:b w:val="0"/>
        </w:rPr>
        <w:t>Ejecutada una acción sobre el equipo, se le solicita al cliente esperar entre 40 y 60 segundos antes de confirmar si el servicio se restableció.</w:t>
      </w:r>
    </w:p>
    <w:p/>
    <w:tbl>
      <w:tblPr>
        <w:tblStyle w:val="TableGrid"/>
        <w:tblW w:type="auto" w:w="0"/>
        <w:tblLook w:firstColumn="1" w:firstRow="1" w:lastColumn="0" w:lastRow="0" w:noHBand="0" w:noVBand="1" w:val="04A0"/>
      </w:tblPr>
      <w:tblGrid>
        <w:gridCol w:w="4320"/>
        <w:gridCol w:w="4320"/>
      </w:tblGrid>
      <w:tr>
        <w:tc>
          <w:tcPr>
            <w:tcW w:type="dxa" w:w="4320"/>
          </w:tcPr>
          <w:p>
            <w:r>
              <w:t>5</w:t>
            </w:r>
          </w:p>
        </w:tc>
        <w:tc>
          <w:tcPr>
            <w:tcW w:type="dxa" w:w="4320"/>
          </w:tcPr>
          <w:p>
            <w:r>
              <w:t>TRABAJOS QUE NUNCA SE SOLICITAN AL CLIENTE</w:t>
            </w:r>
          </w:p>
        </w:tc>
      </w:tr>
    </w:tbl>
    <w:p/>
    <w:p>
      <w:r>
        <w:rPr>
          <w:b w:val="0"/>
        </w:rPr>
        <w:t>Las siguientes tareas figuran en la G-GO-04 como actividades propias del técnico en campo. Solicitárselas a un cliente lo expone a un riesgo físico, puede dañar la red y puede dejar sin servicio a otros clientes del mismo sector.</w:t>
      </w:r>
    </w:p>
    <w:p>
      <w:pPr>
        <w:pStyle w:val="ListBullet"/>
      </w:pPr>
      <w:r>
        <w:t>Abrir cajas de distribución o NAP, o intervenir cajas y cables en la vía pública.</w:t>
      </w:r>
    </w:p>
    <w:p>
      <w:pPr>
        <w:pStyle w:val="ListBullet"/>
      </w:pPr>
      <w:r>
        <w:t>Subir a postes o realizar trabajos en altura.</w:t>
      </w:r>
    </w:p>
    <w:p>
      <w:pPr>
        <w:pStyle w:val="ListBullet"/>
      </w:pPr>
      <w:r>
        <w:t>Utilizar medidor de potencia óptica o medir niveles de señal.</w:t>
      </w:r>
    </w:p>
    <w:p>
      <w:pPr>
        <w:pStyle w:val="ListBullet"/>
      </w:pPr>
      <w:r>
        <w:t>Retirar, limpiar o manipular conectores de fibra óptica.</w:t>
      </w:r>
    </w:p>
    <w:p>
      <w:pPr>
        <w:pStyle w:val="ListBullet"/>
      </w:pPr>
      <w:r>
        <w:t>Cortar, doblar, reparar o intervenir fibra óptica.</w:t>
      </w:r>
    </w:p>
    <w:p>
      <w:pPr>
        <w:pStyle w:val="ListBullet"/>
      </w:pPr>
      <w:r>
        <w:t>Manipular el cable de acometida (drop) o sus tensores.</w:t>
      </w:r>
    </w:p>
    <w:p>
      <w:pPr>
        <w:pStyle w:val="ListBullet"/>
      </w:pPr>
      <w:r>
        <w:t>Reemplazar, abrir o intervenir físicamente el equipo instalado.</w:t>
      </w:r>
    </w:p>
    <w:p>
      <w:pPr>
        <w:pStyle w:val="ListBullet"/>
      </w:pPr>
      <w:r>
        <w:t>Ingresar a configuraciones administrativas o ejecutar comandos técnicos.</w:t>
      </w:r>
    </w:p>
    <w:p/>
    <w:p>
      <w:r>
        <w:rPr>
          <w:b w:val="0"/>
        </w:rPr>
        <w:t>El equipo instalado en el domicilio y la infraestructura que lo conecta son propiedad de la empresa, y su mantenimiento corresponde al personal técnico. Cuando la solución del caso requiera cualquiera de estas tareas, el caso pasa a atención técnica.</w:t>
      </w:r>
    </w:p>
    <w:p/>
    <w:tbl>
      <w:tblPr>
        <w:tblStyle w:val="TableGrid"/>
        <w:tblW w:type="auto" w:w="0"/>
        <w:tblLook w:firstColumn="1" w:firstRow="1" w:lastColumn="0" w:lastRow="0" w:noHBand="0" w:noVBand="1" w:val="04A0"/>
      </w:tblPr>
      <w:tblGrid>
        <w:gridCol w:w="4320"/>
        <w:gridCol w:w="4320"/>
      </w:tblGrid>
      <w:tr>
        <w:tc>
          <w:tcPr>
            <w:tcW w:type="dxa" w:w="4320"/>
          </w:tcPr>
          <w:p>
            <w:r>
              <w:t>6</w:t>
            </w:r>
          </w:p>
        </w:tc>
        <w:tc>
          <w:tcPr>
            <w:tcW w:type="dxa" w:w="4320"/>
          </w:tcPr>
          <w:p>
            <w:r>
              <w:t>ESCALAMIENTO</w:t>
            </w:r>
          </w:p>
        </w:tc>
      </w:tr>
    </w:tbl>
    <w:p/>
    <w:p>
      <w:r>
        <w:rPr>
          <w:b w:val="0"/>
        </w:rPr>
        <w:t>El caso pasa a atención técnica cuando su solución requiere trabajo físico sobre la red o sobre el equipo, cuando los sistemas indican una condición que no se corrige de forma remota, cuando las acciones seguras del numeral 4 no resolvieron el problema, o cuando la información disponible no alcanza para determinar la causa.</w:t>
      </w:r>
    </w:p>
    <w:p>
      <w:r>
        <w:rPr>
          <w:b w:val="0"/>
        </w:rPr>
        <w:t>Alcanzado ese punto la atención se detiene: no se agregan pasos adicionales ni se le solicita al cliente que continúe probando.</w:t>
      </w:r>
    </w:p>
    <w:p/>
    <w:p>
      <w:r>
        <w:rPr>
          <w:b/>
        </w:rPr>
        <w:t>6.1  Prioridad y plazo informado al cliente</w:t>
      </w:r>
    </w:p>
    <w:p>
      <w:r>
        <w:rPr>
          <w:b w:val="0"/>
        </w:rPr>
        <w:t>El PROCEDIMIENTO DE SOPORTE TÉCNICO vigente clasifica la pérdida total de internet como incidencia CRÍTICA. Esa clasificación es interna y ordena el trabajo del área.</w:t>
      </w:r>
    </w:p>
    <w:p>
      <w:r>
        <w:rPr>
          <w:b w:val="0"/>
        </w:rPr>
        <w:t>Al cliente se le informa un plazo de atención de 48 a 72 horas. No se le prometen tiempos menores ni fechas concretas de visita: la coordinación la realiza el área técnica según carga y zona.</w:t>
      </w:r>
    </w:p>
    <w:tbl>
      <w:tblPr>
        <w:tblStyle w:val="TableGrid"/>
        <w:tblW w:type="auto" w:w="0"/>
        <w:tblLook w:firstColumn="1" w:firstRow="1" w:lastColumn="0" w:lastRow="0" w:noHBand="0" w:noVBand="1" w:val="04A0"/>
      </w:tblPr>
      <w:tblGrid>
        <w:gridCol w:w="8640"/>
      </w:tblGrid>
      <w:tr>
        <w:tc>
          <w:tcPr>
            <w:tcW w:type="dxa" w:w="8640"/>
          </w:tcPr>
          <w:p>
            <w:r>
              <w:t>⚠️  A CONFIRMAR EN LA REVISIÓN: el plazo quedó redactado en horas corridas, que es como lo interpreta un cliente. El procedimiento interno expresa su tiempo de resolución en horas hábiles. Si el plazo informado también debe contarse en horas hábiles, debe decírsele explícitamente al cliente: la diferencia entre 72 horas corridas y 72 horas hábiles es de varios días.</w:t>
            </w:r>
          </w:p>
        </w:tc>
      </w:tr>
    </w:tbl>
    <w:p/>
    <w:tbl>
      <w:tblPr>
        <w:tblStyle w:val="TableGrid"/>
        <w:tblW w:type="auto" w:w="0"/>
        <w:tblLook w:firstColumn="1" w:firstRow="1" w:lastColumn="0" w:lastRow="0" w:noHBand="0" w:noVBand="1" w:val="04A0"/>
      </w:tblPr>
      <w:tblGrid>
        <w:gridCol w:w="4320"/>
        <w:gridCol w:w="4320"/>
      </w:tblGrid>
      <w:tr>
        <w:tc>
          <w:tcPr>
            <w:tcW w:type="dxa" w:w="4320"/>
          </w:tcPr>
          <w:p>
            <w:r>
              <w:t>7</w:t>
            </w:r>
          </w:p>
        </w:tc>
        <w:tc>
          <w:tcPr>
            <w:tcW w:type="dxa" w:w="4320"/>
          </w:tcPr>
          <w:p>
            <w:r>
              <w:t>LÍMITES DE COMUNICACIÓN</w:t>
            </w:r>
          </w:p>
        </w:tc>
      </w:tr>
    </w:tbl>
    <w:p/>
    <w:p>
      <w:r>
        <w:rPr>
          <w:b w:val="0"/>
        </w:rPr>
        <w:t>Al cliente se le explica qué ocurre con su servicio y qué sigue, en lenguaje sencillo. Puede indicársele que se detectó una condición que requiere revisión técnica y que su caso está en proceso, sin describirle mediciones, niveles, nombres de equipos ni detalles de la infraestructura.</w:t>
      </w:r>
    </w:p>
    <w:p>
      <w:r>
        <w:rPr>
          <w:b w:val="0"/>
        </w:rPr>
        <w:t>No se le atribuye al problema una causa que no haya sido confirmada. No se le comparten contraseñas, direcciones IP, identificadores de equipos, datos de infraestructura, procedimientos internos ni información de otros clientes.</w:t>
      </w:r>
    </w:p>
    <w:p/>
    <w:tbl>
      <w:tblPr>
        <w:tblStyle w:val="TableGrid"/>
        <w:tblW w:type="auto" w:w="0"/>
        <w:tblLook w:firstColumn="1" w:firstRow="1" w:lastColumn="0" w:lastRow="0" w:noHBand="0" w:noVBand="1" w:val="04A0"/>
      </w:tblPr>
      <w:tblGrid>
        <w:gridCol w:w="4320"/>
        <w:gridCol w:w="4320"/>
      </w:tblGrid>
      <w:tr>
        <w:tc>
          <w:tcPr>
            <w:tcW w:type="dxa" w:w="4320"/>
          </w:tcPr>
          <w:p>
            <w:r>
              <w:t>8</w:t>
            </w:r>
          </w:p>
        </w:tc>
        <w:tc>
          <w:tcPr>
            <w:tcW w:type="dxa" w:w="4320"/>
          </w:tcPr>
          <w:p>
            <w:r>
              <w:t>TRAZABILIDAD DEL CONTENIDO</w:t>
            </w:r>
          </w:p>
        </w:tc>
      </w:tr>
    </w:tbl>
    <w:p/>
    <w:p>
      <w:r>
        <w:rPr>
          <w:b/>
        </w:rPr>
        <w:t>Contenido respaldado por documentos vigentes:</w:t>
      </w:r>
    </w:p>
    <w:p>
      <w:pPr>
        <w:pStyle w:val="ListBullet"/>
      </w:pPr>
      <w:r>
        <w:t>Necesidad de esta guía: figura como pendiente en el PROCEDIMIENTO DE SOPORTE TÉCNICO.</w:t>
      </w:r>
    </w:p>
    <w:p>
      <w:pPr>
        <w:pStyle w:val="ListBullet"/>
      </w:pPr>
      <w:r>
        <w:t>Trabajos prohibidos al cliente: figuran en G-GO-04 como actividades del técnico en campo.</w:t>
      </w:r>
    </w:p>
    <w:p>
      <w:pPr>
        <w:pStyle w:val="ListBullet"/>
      </w:pPr>
      <w:r>
        <w:t>Clasificación crítica de la pérdida total de internet: tabla de tiempos del procedimiento vigente.</w:t>
      </w:r>
    </w:p>
    <w:p>
      <w:pPr>
        <w:pStyle w:val="ListBullet"/>
      </w:pPr>
      <w:r>
        <w:t>Separación entre atención al cliente y técnico de campo: alcance declarado en G-GO-04.</w:t>
      </w:r>
    </w:p>
    <w:p/>
    <w:p>
      <w:r>
        <w:rPr>
          <w:b/>
        </w:rPr>
        <w:t>Contenido nuevo, definido para este documento:</w:t>
      </w:r>
    </w:p>
    <w:p>
      <w:pPr>
        <w:pStyle w:val="ListBullet"/>
      </w:pPr>
      <w:r>
        <w:t>Listado de acciones seguras que pueden solicitarse al cliente (numeral 4).</w:t>
      </w:r>
    </w:p>
    <w:p>
      <w:pPr>
        <w:pStyle w:val="ListBullet"/>
      </w:pPr>
      <w:r>
        <w:t>Decisión de no solicitar reinicio manual (numeral 4.3).</w:t>
      </w:r>
    </w:p>
    <w:p>
      <w:pPr>
        <w:pStyle w:val="ListBullet"/>
      </w:pPr>
      <w:r>
        <w:t>Tiempo de espera de 40 a 60 segundos (numeral 4.4).</w:t>
      </w:r>
    </w:p>
    <w:p>
      <w:pPr>
        <w:pStyle w:val="ListBullet"/>
      </w:pPr>
      <w:r>
        <w:t>Criterios de escalamiento (numeral 6).</w:t>
      </w:r>
    </w:p>
    <w:p>
      <w:pPr>
        <w:pStyle w:val="ListBullet"/>
      </w:pPr>
      <w:r>
        <w:t>Plazo de 48 a 72 horas informado al cliente (numeral 6.1).</w:t>
      </w:r>
    </w:p>
    <w:p/>
    <w:tbl>
      <w:tblPr>
        <w:tblStyle w:val="TableGrid"/>
        <w:tblW w:type="auto" w:w="0"/>
        <w:tblLook w:firstColumn="1" w:firstRow="1" w:lastColumn="0" w:lastRow="0" w:noHBand="0" w:noVBand="1" w:val="04A0"/>
      </w:tblPr>
      <w:tblGrid>
        <w:gridCol w:w="4320"/>
        <w:gridCol w:w="4320"/>
      </w:tblGrid>
      <w:tr>
        <w:tc>
          <w:tcPr>
            <w:tcW w:type="dxa" w:w="4320"/>
          </w:tcPr>
          <w:p>
            <w:r>
              <w:t>9</w:t>
            </w:r>
          </w:p>
        </w:tc>
        <w:tc>
          <w:tcPr>
            <w:tcW w:type="dxa" w:w="4320"/>
          </w:tcPr>
          <w:p>
            <w:r>
              <w:t>DOCUMENTO DERIVADO PARA EL ASISTENTE</w:t>
            </w:r>
          </w:p>
        </w:tc>
      </w:tr>
    </w:tbl>
    <w:p/>
    <w:p>
      <w:r>
        <w:rPr>
          <w:b w:val="0"/>
        </w:rPr>
        <w:t>De esta guía se deriva un documento reducido que es el que utiliza el asistente conversacional, con las mismas reglas reescritas para consulta automática. Ambos documentos van atados por versión: si esta guía cambia, el documento derivado se regenera. El documento derivado no se edita de forma independiente, para que no existan dos versiones de la misma regla.</w:t>
      </w:r>
    </w:p>
    <w:p/>
    <w:tbl>
      <w:tblPr>
        <w:tblStyle w:val="TableGrid"/>
        <w:tblW w:type="auto" w:w="0"/>
        <w:tblLook w:firstColumn="1" w:firstRow="1" w:lastColumn="0" w:lastRow="0" w:noHBand="0" w:noVBand="1" w:val="04A0"/>
      </w:tblPr>
      <w:tblGrid>
        <w:gridCol w:w="8640"/>
      </w:tblGrid>
      <w:tr>
        <w:tc>
          <w:tcPr>
            <w:tcW w:type="dxa" w:w="8640"/>
          </w:tcPr>
          <w:p>
            <w:r>
              <w:t>APROBACIÓN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ELABORADO</w:t>
            </w:r>
          </w:p>
        </w:tc>
        <w:tc>
          <w:tcPr>
            <w:tcW w:type="dxa" w:w="2880"/>
          </w:tcPr>
          <w:p>
            <w:r>
              <w:t>REVISADO POR</w:t>
            </w:r>
          </w:p>
        </w:tc>
        <w:tc>
          <w:tcPr>
            <w:tcW w:type="dxa" w:w="2880"/>
          </w:tcPr>
          <w:p>
            <w:r>
              <w:t>APROBADO POR</w:t>
            </w:r>
          </w:p>
        </w:tc>
      </w:tr>
      <w:tr>
        <w:tc>
          <w:tcPr>
            <w:tcW w:type="dxa" w:w="2880"/>
          </w:tcPr>
          <w:p>
            <w:r>
              <w:t>Cargo:</w:t>
              <w:br/>
              <w:t>Nombre:</w:t>
            </w:r>
          </w:p>
        </w:tc>
        <w:tc>
          <w:tcPr>
            <w:tcW w:type="dxa" w:w="2880"/>
          </w:tcPr>
          <w:p>
            <w:r>
              <w:t>Cargo:</w:t>
              <w:br/>
              <w:t>Nombre:</w:t>
            </w:r>
          </w:p>
        </w:tc>
        <w:tc>
          <w:tcPr>
            <w:tcW w:type="dxa" w:w="2880"/>
          </w:tcPr>
          <w:p>
            <w:r>
              <w:t>Cargo:</w:t>
              <w:br/>
              <w:t>Nombre:</w:t>
            </w:r>
          </w:p>
        </w:tc>
      </w:tr>
    </w:tbl>
    <w:p/>
    <w:tbl>
      <w:tblPr>
        <w:tblStyle w:val="TableGrid"/>
        <w:tblW w:type="auto" w:w="0"/>
        <w:tblLook w:firstColumn="1" w:firstRow="1" w:lastColumn="0" w:lastRow="0" w:noHBand="0" w:noVBand="1" w:val="04A0"/>
      </w:tblPr>
      <w:tblGrid>
        <w:gridCol w:w="8640"/>
      </w:tblGrid>
      <w:tr>
        <w:tc>
          <w:tcPr>
            <w:tcW w:type="dxa" w:w="8640"/>
          </w:tcPr>
          <w:p>
            <w:r>
              <w:t>REGISTRO DE CAMBIOS</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Versión</w:t>
            </w:r>
          </w:p>
        </w:tc>
        <w:tc>
          <w:tcPr>
            <w:tcW w:type="dxa" w:w="2160"/>
          </w:tcPr>
          <w:p>
            <w:r>
              <w:t>Fecha</w:t>
            </w:r>
          </w:p>
        </w:tc>
        <w:tc>
          <w:tcPr>
            <w:tcW w:type="dxa" w:w="2160"/>
          </w:tcPr>
          <w:p>
            <w:r>
              <w:t>Numeral</w:t>
            </w:r>
          </w:p>
        </w:tc>
        <w:tc>
          <w:tcPr>
            <w:tcW w:type="dxa" w:w="2160"/>
          </w:tcPr>
          <w:p>
            <w:r>
              <w:t>Razón del Cambio</w:t>
            </w:r>
          </w:p>
        </w:tc>
      </w:tr>
      <w:tr>
        <w:tc>
          <w:tcPr>
            <w:tcW w:type="dxa" w:w="2160"/>
          </w:tcPr>
          <w:p>
            <w:r>
              <w:t>01</w:t>
            </w:r>
          </w:p>
        </w:tc>
        <w:tc>
          <w:tcPr>
            <w:tcW w:type="dxa" w:w="2160"/>
          </w:tcPr>
          <w:p>
            <w:r>
              <w:t>22 de Agosto 2026</w:t>
            </w:r>
          </w:p>
        </w:tc>
        <w:tc>
          <w:tcPr>
            <w:tcW w:type="dxa" w:w="2160"/>
          </w:tcPr>
          <w:p>
            <w:r>
              <w:t>Todos</w:t>
            </w:r>
          </w:p>
        </w:tc>
        <w:tc>
          <w:tcPr>
            <w:tcW w:type="dxa" w:w="2160"/>
          </w:tcPr>
          <w:p>
            <w:r>
              <w:t>Creación del documento.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