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33" w:rsidRDefault="00E023A8">
      <w:r>
        <w:rPr>
          <w:noProof/>
          <w:lang w:eastAsia="en-IN"/>
        </w:rPr>
        <w:drawing>
          <wp:inline distT="0" distB="0" distL="0" distR="0">
            <wp:extent cx="4457700" cy="476250"/>
            <wp:effectExtent l="19050" t="0" r="0" b="0"/>
            <wp:docPr id="1" name="Picture 1" descr="https://www.thehindu.com/thehindu/ms/hind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hindu.com/thehindu/ms/hindux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A8" w:rsidRDefault="00E023A8">
      <w:pPr>
        <w:rPr>
          <w:rFonts w:ascii="Verdana" w:hAnsi="Verdana"/>
          <w:color w:val="0000FF"/>
          <w:sz w:val="17"/>
          <w:szCs w:val="17"/>
          <w:shd w:val="clear" w:color="auto" w:fill="FFFFFF"/>
        </w:rPr>
      </w:pPr>
      <w:r>
        <w:rPr>
          <w:rFonts w:ascii="Verdana" w:hAnsi="Verdana"/>
          <w:color w:val="FF0000"/>
          <w:sz w:val="17"/>
          <w:szCs w:val="17"/>
          <w:shd w:val="clear" w:color="auto" w:fill="FFFFFF"/>
        </w:rPr>
        <w:t>Online edition of India's National Newspaper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FF"/>
          <w:sz w:val="17"/>
          <w:szCs w:val="17"/>
          <w:shd w:val="clear" w:color="auto" w:fill="FFFFFF"/>
        </w:rPr>
        <w:t>Friday, Dec 23, 2005</w:t>
      </w:r>
    </w:p>
    <w:p w:rsidR="00E023A8" w:rsidRDefault="00E023A8">
      <w:pPr>
        <w:rPr>
          <w:rFonts w:ascii="Verdana" w:hAnsi="Verdana"/>
          <w:color w:val="0000FF"/>
          <w:sz w:val="17"/>
          <w:szCs w:val="17"/>
          <w:shd w:val="clear" w:color="auto" w:fill="FFFFFF"/>
        </w:rPr>
      </w:pPr>
    </w:p>
    <w:tbl>
      <w:tblPr>
        <w:tblW w:w="12000" w:type="dxa"/>
        <w:tblCellSpacing w:w="15" w:type="dxa"/>
        <w:shd w:val="clear" w:color="auto" w:fill="00FF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8"/>
        <w:gridCol w:w="3502"/>
      </w:tblGrid>
      <w:tr w:rsidR="00E023A8" w:rsidRPr="00E023A8" w:rsidTr="00E023A8">
        <w:trPr>
          <w:tblCellSpacing w:w="15" w:type="dxa"/>
        </w:trPr>
        <w:tc>
          <w:tcPr>
            <w:tcW w:w="8520" w:type="dxa"/>
            <w:shd w:val="clear" w:color="auto" w:fill="00FF00"/>
            <w:vAlign w:val="center"/>
            <w:hideMark/>
          </w:tcPr>
          <w:p w:rsidR="00E023A8" w:rsidRPr="00E023A8" w:rsidRDefault="00E023A8" w:rsidP="00E023A8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E023A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N"/>
              </w:rPr>
              <w:t>Music Season</w:t>
            </w:r>
          </w:p>
        </w:tc>
        <w:tc>
          <w:tcPr>
            <w:tcW w:w="3480" w:type="dxa"/>
            <w:shd w:val="clear" w:color="auto" w:fill="00FF00"/>
            <w:vAlign w:val="center"/>
            <w:hideMark/>
          </w:tcPr>
          <w:p w:rsidR="00E023A8" w:rsidRPr="00E023A8" w:rsidRDefault="00E023A8" w:rsidP="00E023A8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E023A8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IN"/>
              </w:rPr>
              <w:t>The Chennai December Festival</w:t>
            </w:r>
          </w:p>
        </w:tc>
      </w:tr>
    </w:tbl>
    <w:p w:rsidR="00E023A8" w:rsidRPr="00E023A8" w:rsidRDefault="00E023A8" w:rsidP="00E023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9448"/>
      </w:tblGrid>
      <w:tr w:rsidR="00E023A8" w:rsidRPr="00E023A8" w:rsidTr="00E023A8">
        <w:trPr>
          <w:tblCellSpacing w:w="15" w:type="dxa"/>
        </w:trPr>
        <w:tc>
          <w:tcPr>
            <w:tcW w:w="1800" w:type="dxa"/>
            <w:shd w:val="clear" w:color="auto" w:fill="DDFFDD"/>
            <w:hideMark/>
          </w:tcPr>
          <w:p w:rsidR="00E023A8" w:rsidRPr="00E023A8" w:rsidRDefault="00E023A8" w:rsidP="00E023A8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</w:tc>
        <w:tc>
          <w:tcPr>
            <w:tcW w:w="6720" w:type="dxa"/>
            <w:hideMark/>
          </w:tcPr>
          <w:tbl>
            <w:tblPr>
              <w:tblW w:w="672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75"/>
              <w:gridCol w:w="45"/>
            </w:tblGrid>
            <w:tr w:rsidR="00E023A8" w:rsidRPr="00E023A8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DDFFDD"/>
                  <w:vAlign w:val="center"/>
                  <w:hideMark/>
                </w:tcPr>
                <w:p w:rsidR="00E023A8" w:rsidRPr="00E023A8" w:rsidRDefault="00E023A8" w:rsidP="00E023A8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</w:pPr>
                  <w:r w:rsidRPr="00E023A8">
                    <w:rPr>
                      <w:rFonts w:ascii="Verdana" w:eastAsia="Times New Roman" w:hAnsi="Verdana" w:cs="Times New Roman"/>
                      <w:color w:val="FF0000"/>
                      <w:sz w:val="17"/>
                      <w:szCs w:val="17"/>
                      <w:lang w:eastAsia="en-IN"/>
                    </w:rPr>
                    <w:t>Features: </w:t>
                  </w:r>
                  <w:hyperlink r:id="rId5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Magazine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6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Literary Review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7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Life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8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Metro Plus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9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Open Page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0" w:history="1">
                    <w:r w:rsidRPr="00E023A8">
                      <w:rPr>
                        <w:rFonts w:ascii="Verdana" w:eastAsia="Times New Roman" w:hAnsi="Verdana" w:cs="Times New Roman"/>
                        <w:color w:val="E07000"/>
                        <w:sz w:val="17"/>
                        <w:u w:val="single"/>
                        <w:lang w:eastAsia="en-IN"/>
                      </w:rPr>
                      <w:t>Education Plus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1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Book Review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2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Business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3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SciTech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4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Entertainment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5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Young World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6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Property Plus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7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Quest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 </w:t>
                  </w:r>
                  <w:hyperlink r:id="rId18" w:history="1">
                    <w:r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Folio</w:t>
                    </w:r>
                  </w:hyperlink>
                  <w:r w:rsidRPr="00E023A8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  <w:t> |</w:t>
                  </w:r>
                </w:p>
              </w:tc>
            </w:tr>
            <w:tr w:rsidR="00E023A8" w:rsidRPr="00E023A8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023A8" w:rsidRPr="00E023A8" w:rsidRDefault="00E14F34" w:rsidP="00E023A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</w:pPr>
                  <w:hyperlink r:id="rId19" w:history="1">
                    <w:r w:rsidR="00E023A8" w:rsidRPr="00E023A8">
                      <w:rPr>
                        <w:rFonts w:ascii="Verdana" w:eastAsia="Times New Roman" w:hAnsi="Verdana" w:cs="Times New Roman"/>
                        <w:color w:val="0000FF"/>
                        <w:sz w:val="17"/>
                        <w:lang w:eastAsia="en-IN"/>
                      </w:rPr>
                      <w:t>Music Season</w:t>
                    </w:r>
                  </w:hyperlink>
                </w:p>
                <w:p w:rsidR="00E023A8" w:rsidRPr="00E023A8" w:rsidRDefault="00E14F34" w:rsidP="00E023A8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  <w:hyperlink r:id="rId20" w:history="1">
                    <w:r w:rsidR="00E023A8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7"/>
                        <w:szCs w:val="17"/>
                        <w:lang w:eastAsia="en-IN"/>
                      </w:rPr>
                      <w:drawing>
                        <wp:anchor distT="0" distB="0" distL="0" distR="0" simplePos="0" relativeHeight="251657216" behindDoc="0" locked="0" layoutInCell="1" allowOverlap="0">
                          <wp:simplePos x="0" y="0"/>
                          <wp:positionH relativeFrom="column">
                            <wp:align>right</wp:align>
                          </wp:positionH>
                          <wp:positionV relativeFrom="line">
                            <wp:posOffset>0</wp:posOffset>
                          </wp:positionV>
                          <wp:extent cx="142875" cy="104775"/>
                          <wp:effectExtent l="19050" t="0" r="9525" b="0"/>
                          <wp:wrapSquare wrapText="bothSides"/>
                          <wp:docPr id="2" name="Picture 2" descr="Printer Friendly Page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Printer Friendly Page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" cy="10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anchor>
                      </w:drawing>
                    </w:r>
                  </w:hyperlink>
                  <w:hyperlink r:id="rId22" w:history="1">
                    <w:r w:rsidR="00E023A8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7"/>
                        <w:szCs w:val="17"/>
                        <w:lang w:eastAsia="en-IN"/>
                      </w:rPr>
                      <w:drawing>
                        <wp:anchor distT="0" distB="0" distL="0" distR="0" simplePos="0" relativeHeight="251658240" behindDoc="0" locked="0" layoutInCell="1" allowOverlap="0">
                          <wp:simplePos x="0" y="0"/>
                          <wp:positionH relativeFrom="column">
                            <wp:align>right</wp:align>
                          </wp:positionH>
                          <wp:positionV relativeFrom="line">
                            <wp:posOffset>0</wp:posOffset>
                          </wp:positionV>
                          <wp:extent cx="142875" cy="104775"/>
                          <wp:effectExtent l="19050" t="0" r="9525" b="0"/>
                          <wp:wrapSquare wrapText="bothSides"/>
                          <wp:docPr id="3" name="Picture 3" descr="Send this Article to a Friend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Send this Article to a Friend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" cy="10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anchor>
                      </w:drawing>
                    </w:r>
                  </w:hyperlink>
                  <w:r w:rsidR="00E023A8" w:rsidRPr="00E023A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="00E023A8" w:rsidRPr="00E023A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</w:p>
                <w:p w:rsidR="00E023A8" w:rsidRPr="00E023A8" w:rsidRDefault="00E023A8" w:rsidP="00E023A8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  <w:r w:rsidRPr="00E023A8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4"/>
                      <w:szCs w:val="24"/>
                      <w:lang w:eastAsia="en-IN"/>
                    </w:rPr>
                    <w:t>A fascinating collaboration</w:t>
                  </w:r>
                </w:p>
                <w:p w:rsidR="00E023A8" w:rsidRPr="00E023A8" w:rsidRDefault="00E023A8" w:rsidP="00E023A8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  <w:r w:rsidRPr="00E023A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RANJANI GOVIND</w:t>
                  </w:r>
                </w:p>
                <w:tbl>
                  <w:tblPr>
                    <w:tblW w:w="5000" w:type="pct"/>
                    <w:tblCellSpacing w:w="15" w:type="dxa"/>
                    <w:shd w:val="clear" w:color="auto" w:fill="DDFFD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630"/>
                  </w:tblGrid>
                  <w:tr w:rsidR="00E023A8" w:rsidRPr="00E023A8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DDFFDD"/>
                        <w:vAlign w:val="center"/>
                        <w:hideMark/>
                      </w:tcPr>
                      <w:p w:rsidR="00E023A8" w:rsidRPr="00E023A8" w:rsidRDefault="00E023A8" w:rsidP="00E023A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en-IN"/>
                          </w:rPr>
                        </w:pPr>
                        <w:r w:rsidRPr="00E023A8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en-IN"/>
                          </w:rPr>
                          <w:t xml:space="preserve">The violin and the sitar, the </w:t>
                        </w:r>
                        <w:proofErr w:type="spellStart"/>
                        <w:r w:rsidRPr="00E023A8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en-IN"/>
                          </w:rPr>
                          <w:t>tavil</w:t>
                        </w:r>
                        <w:proofErr w:type="spellEnd"/>
                        <w:r w:rsidRPr="00E023A8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en-IN"/>
                          </w:rPr>
                          <w:t xml:space="preserve"> and the table joined in a rain of rhythm.</w:t>
                        </w:r>
                      </w:p>
                    </w:tc>
                  </w:tr>
                </w:tbl>
                <w:p w:rsidR="00E023A8" w:rsidRPr="00E023A8" w:rsidRDefault="00E023A8" w:rsidP="00E023A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IN"/>
                    </w:rPr>
                  </w:pPr>
                </w:p>
              </w:tc>
            </w:tr>
          </w:tbl>
          <w:p w:rsidR="00E023A8" w:rsidRPr="00E023A8" w:rsidRDefault="00E023A8" w:rsidP="00E023A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</w:p>
        </w:tc>
      </w:tr>
    </w:tbl>
    <w:p w:rsidR="00E023A8" w:rsidRDefault="00E023A8">
      <w:pPr>
        <w:rPr>
          <w:sz w:val="24"/>
          <w:szCs w:val="24"/>
        </w:rPr>
      </w:pPr>
    </w:p>
    <w:p w:rsidR="00E023A8" w:rsidRDefault="00E023A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3343275" cy="1285875"/>
            <wp:effectExtent l="19050" t="0" r="9525" b="0"/>
            <wp:docPr id="7" name="Picture 7" descr="https://www.thehindu.com/ms/2005/12/23/images/2005122300220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hehindu.com/ms/2005/12/23/images/200512230022040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A8" w:rsidRPr="00E023A8" w:rsidRDefault="00E023A8" w:rsidP="00E023A8">
      <w:pPr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>
        <w:rPr>
          <w:noProof/>
          <w:lang w:eastAsia="en-IN"/>
        </w:rPr>
        <w:t xml:space="preserve">                                      </w:t>
      </w:r>
      <w:r w:rsidRPr="00E023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 xml:space="preserve">UNUSUAL BLEND: </w:t>
      </w:r>
      <w:proofErr w:type="spellStart"/>
      <w:r w:rsidRPr="00E023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Swaralaya</w:t>
      </w:r>
      <w:proofErr w:type="spellEnd"/>
      <w:r w:rsidRPr="00E023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 xml:space="preserve"> group. Photo: S. </w:t>
      </w:r>
      <w:proofErr w:type="spellStart"/>
      <w:r w:rsidRPr="00E023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Thanthoni</w:t>
      </w:r>
      <w:proofErr w:type="spellEnd"/>
      <w:r w:rsidRPr="00E023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.</w:t>
      </w:r>
    </w:p>
    <w:p w:rsidR="00E023A8" w:rsidRPr="00E023A8" w:rsidRDefault="00E023A8" w:rsidP="00E023A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Some exercises in music can astonish you.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Tyagaraja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kritis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unfolding on sitar with the violin for an associate! The collaboration fascinates you further -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Thavil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mridangam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and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tabla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striking high on a rhythmic thoroughfare.</w:t>
      </w:r>
    </w:p>
    <w:p w:rsidR="00E023A8" w:rsidRPr="00E023A8" w:rsidRDefault="00E023A8" w:rsidP="00E023A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Kalarasana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concerts featured `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Swaralaya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' — a rare experiment in their prime time slot Monday last at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Rani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Seethai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Hall. The programme, dominated by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Tyagaraja's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kritis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was the brainchild of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Thavil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maestro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Haridwaramangalam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Palanivel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who led the musicians on stage —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Kalpana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Venkat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on the violin</w:t>
      </w:r>
      <w:r w:rsidRPr="00206193">
        <w:rPr>
          <w:rFonts w:ascii="Verdana" w:eastAsia="Times New Roman" w:hAnsi="Verdana" w:cs="Times New Roman"/>
          <w:color w:val="FF0000"/>
          <w:sz w:val="17"/>
          <w:szCs w:val="17"/>
          <w:highlight w:val="yellow"/>
          <w:lang w:eastAsia="en-IN"/>
        </w:rPr>
        <w:t xml:space="preserve">, B. </w:t>
      </w:r>
      <w:proofErr w:type="spellStart"/>
      <w:r w:rsidRPr="00206193">
        <w:rPr>
          <w:rFonts w:ascii="Verdana" w:eastAsia="Times New Roman" w:hAnsi="Verdana" w:cs="Times New Roman"/>
          <w:color w:val="FF0000"/>
          <w:sz w:val="17"/>
          <w:szCs w:val="17"/>
          <w:highlight w:val="yellow"/>
          <w:lang w:eastAsia="en-IN"/>
        </w:rPr>
        <w:t>Sivaramakrishna</w:t>
      </w:r>
      <w:proofErr w:type="spellEnd"/>
      <w:r w:rsidRPr="00206193">
        <w:rPr>
          <w:rFonts w:ascii="Verdana" w:eastAsia="Times New Roman" w:hAnsi="Verdana" w:cs="Times New Roman"/>
          <w:color w:val="FF0000"/>
          <w:sz w:val="17"/>
          <w:szCs w:val="17"/>
          <w:highlight w:val="yellow"/>
          <w:lang w:eastAsia="en-IN"/>
        </w:rPr>
        <w:t xml:space="preserve"> </w:t>
      </w:r>
      <w:proofErr w:type="spellStart"/>
      <w:r w:rsidRPr="00206193">
        <w:rPr>
          <w:rFonts w:ascii="Verdana" w:eastAsia="Times New Roman" w:hAnsi="Verdana" w:cs="Times New Roman"/>
          <w:color w:val="FF0000"/>
          <w:sz w:val="17"/>
          <w:szCs w:val="17"/>
          <w:highlight w:val="yellow"/>
          <w:lang w:eastAsia="en-IN"/>
        </w:rPr>
        <w:t>Rao</w:t>
      </w:r>
      <w:proofErr w:type="spellEnd"/>
      <w:r w:rsidRPr="00206193">
        <w:rPr>
          <w:rFonts w:ascii="Verdana" w:eastAsia="Times New Roman" w:hAnsi="Verdana" w:cs="Times New Roman"/>
          <w:color w:val="FF0000"/>
          <w:sz w:val="17"/>
          <w:szCs w:val="17"/>
          <w:highlight w:val="yellow"/>
          <w:lang w:eastAsia="en-IN"/>
        </w:rPr>
        <w:t xml:space="preserve"> on the sitar</w:t>
      </w:r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D. A.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Shrinivas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on the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mridangam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and B.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Ganesh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Rao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on the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tabla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.</w:t>
      </w:r>
    </w:p>
    <w:p w:rsidR="00E023A8" w:rsidRPr="00E023A8" w:rsidRDefault="00E023A8" w:rsidP="00E023A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A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varnam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in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Hindolam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, ``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Mriganayanam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" composed by D.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Sashidhar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, flagged off the curious blend of instruments, the rapid precision of each medium blending perfectly for a flashy finish.</w:t>
      </w:r>
    </w:p>
    <w:p w:rsidR="00E023A8" w:rsidRPr="00E023A8" w:rsidRDefault="00E023A8" w:rsidP="00E023A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"We chose many of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Tyagaraja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kritis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as the Saint's work is adaptable for the shrill instrument, sitar, and could be offset with a variant sound of the non-reed violin. The blend helps in enhancing the experience of the subtle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gamakas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of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Tyagaraja's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compositions better," said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Kalpana</w:t>
      </w:r>
      <w:proofErr w:type="spellEnd"/>
      <w:r w:rsidRPr="00206193">
        <w:rPr>
          <w:rFonts w:ascii="Verdana" w:eastAsia="Times New Roman" w:hAnsi="Verdana" w:cs="Times New Roman"/>
          <w:color w:val="FF0000"/>
          <w:sz w:val="17"/>
          <w:szCs w:val="17"/>
          <w:highlight w:val="yellow"/>
          <w:lang w:eastAsia="en-IN"/>
        </w:rPr>
        <w:t xml:space="preserve">. </w:t>
      </w:r>
      <w:proofErr w:type="spellStart"/>
      <w:r w:rsidRPr="00206193">
        <w:rPr>
          <w:rFonts w:ascii="Verdana" w:eastAsia="Times New Roman" w:hAnsi="Verdana" w:cs="Times New Roman"/>
          <w:color w:val="FF0000"/>
          <w:sz w:val="17"/>
          <w:szCs w:val="17"/>
          <w:highlight w:val="yellow"/>
          <w:lang w:eastAsia="en-IN"/>
        </w:rPr>
        <w:t>Sivaramakrishna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was as dexterous with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alapana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kriti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and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kalpanaswaras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as he was with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alaap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jod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jhala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and </w:t>
      </w:r>
      <w:proofErr w:type="spellStart"/>
      <w:proofErr w:type="gram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gath</w:t>
      </w:r>
      <w:proofErr w:type="spellEnd"/>
      <w:proofErr w:type="gram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. Not just playing the raga or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kriti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together,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Kalpana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had to establish those vital links to take every segment across.</w:t>
      </w:r>
    </w:p>
    <w:p w:rsidR="00E023A8" w:rsidRPr="00E023A8" w:rsidRDefault="00E023A8" w:rsidP="00E023A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lastRenderedPageBreak/>
        <w:t>In was in the fast exposition of `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Shobillu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Saptaswara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' in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Jaganmohini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especially the jubilant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chittaswaram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, that the stage sounded perfectly orchestrated. The base strings alternated with the violin and the sitar in the Ghana-raga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pancharatna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`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Endaro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Mahanubhavulu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."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Hamsanandi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and the Hindustani equivalent,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Poorya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were elaborated in a pace that helped one enjoy the fine lines of distinction in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swara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prayogas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in different mediums. The rhythmic exercises of the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thavil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and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mridangam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in the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tani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avarthanam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in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Adi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talam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also included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tisra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and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khanda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nadais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that gained them a long round of applause.</w:t>
      </w:r>
    </w:p>
    <w:p w:rsidR="00E023A8" w:rsidRPr="00E023A8" w:rsidRDefault="00E023A8" w:rsidP="00E023A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Sindhumandari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and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Brindavani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are ragas that lend themselves to instruments for a fast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kalapramanam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.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Tyagaraja's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kriti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in the former and Dr.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Balamurali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Krishna's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tillana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in the latter were choices that served the purpose.</w:t>
      </w:r>
    </w:p>
    <w:p w:rsidR="00E023A8" w:rsidRPr="00E023A8" w:rsidRDefault="00E023A8" w:rsidP="00E023A8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Kalpana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runs the non-profit organisation,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Saama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Gana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Heritage Foundation, in the U.S., for promoting classical arts. "The credit for such </w:t>
      </w:r>
      <w:proofErr w:type="gram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 mingle</w:t>
      </w:r>
      <w:proofErr w:type="gram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was made possible only because of Mr. </w:t>
      </w:r>
      <w:proofErr w:type="spellStart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Palanivel's</w:t>
      </w:r>
      <w:proofErr w:type="spellEnd"/>
      <w:r w:rsidRPr="00E023A8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passion for rhythm," agree the members of the group.</w:t>
      </w:r>
    </w:p>
    <w:p w:rsidR="00E023A8" w:rsidRDefault="00E023A8">
      <w:pPr>
        <w:rPr>
          <w:noProof/>
          <w:lang w:eastAsia="en-IN"/>
        </w:rPr>
      </w:pPr>
    </w:p>
    <w:p w:rsidR="00E023A8" w:rsidRPr="00E023A8" w:rsidRDefault="00E023A8">
      <w:pPr>
        <w:rPr>
          <w:sz w:val="24"/>
          <w:szCs w:val="24"/>
        </w:rPr>
      </w:pPr>
    </w:p>
    <w:sectPr w:rsidR="00E023A8" w:rsidRPr="00E023A8" w:rsidSect="0064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023A8"/>
    <w:rsid w:val="00206193"/>
    <w:rsid w:val="00644027"/>
    <w:rsid w:val="006D0733"/>
    <w:rsid w:val="00C556EA"/>
    <w:rsid w:val="00E023A8"/>
    <w:rsid w:val="00E14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23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thehindu/mp/index.htm" TargetMode="External"/><Relationship Id="rId13" Type="http://schemas.openxmlformats.org/officeDocument/2006/relationships/hyperlink" Target="https://www.thehindu.com/thehindu/seta/index.htm" TargetMode="External"/><Relationship Id="rId18" Type="http://schemas.openxmlformats.org/officeDocument/2006/relationships/hyperlink" Target="https://www.thehindu.com/thehindu/folio/index.ht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www.thehindu.com/thehindu/lf/index.htm" TargetMode="External"/><Relationship Id="rId12" Type="http://schemas.openxmlformats.org/officeDocument/2006/relationships/hyperlink" Target="https://www.thehindu.com/thehindu/biz/index.htm" TargetMode="External"/><Relationship Id="rId17" Type="http://schemas.openxmlformats.org/officeDocument/2006/relationships/hyperlink" Target="https://www.thehindu.com/thehindu/quest/index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ehindu.com/thehindu/pp/index.htm" TargetMode="External"/><Relationship Id="rId20" Type="http://schemas.openxmlformats.org/officeDocument/2006/relationships/hyperlink" Target="http://www.hinduonnet.com/thehindu/thscrip/print.pl?file=2005122300220400.htm&amp;date=2005/12/23/&amp;prd=ms&amp;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hindu.com/thehindu/lr/index.htm" TargetMode="External"/><Relationship Id="rId11" Type="http://schemas.openxmlformats.org/officeDocument/2006/relationships/hyperlink" Target="https://www.thehindu.com/thehindu/br/index.htm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s://www.thehindu.com/thehindu/mag/index.htm" TargetMode="External"/><Relationship Id="rId15" Type="http://schemas.openxmlformats.org/officeDocument/2006/relationships/hyperlink" Target="https://www.thehindu.com/thehindu/yw/index.htm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thehindu.com/thehindu/edu/index.htm" TargetMode="External"/><Relationship Id="rId19" Type="http://schemas.openxmlformats.org/officeDocument/2006/relationships/hyperlink" Target="https://www.thehindu.com/ms/2005/12/23/index.htm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thehindu.com/thehindu/op/index.htm" TargetMode="External"/><Relationship Id="rId14" Type="http://schemas.openxmlformats.org/officeDocument/2006/relationships/hyperlink" Target="https://www.thehindu.com/thehindu/fr/index.htm" TargetMode="External"/><Relationship Id="rId22" Type="http://schemas.openxmlformats.org/officeDocument/2006/relationships/hyperlink" Target="http://www.hinduonnet.com/thehindu/thscrip/pgemail.pl?date=2005/12/23/&amp;prd=ms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616</Words>
  <Characters>3517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SITARSIVA</dc:creator>
  <cp:lastModifiedBy>SITARSIVA</cp:lastModifiedBy>
  <cp:revision>3</cp:revision>
  <dcterms:created xsi:type="dcterms:W3CDTF">2018-09-06T14:13:00Z</dcterms:created>
  <dcterms:modified xsi:type="dcterms:W3CDTF">2018-09-17T10:13:00Z</dcterms:modified>
</cp:coreProperties>
</file>