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keepNext/>
        <w:spacing w:line="252" w:lineRule="auto" w:before="0" w:after="80"/>
      </w:pPr>
      <w:r>
        <w:rPr>
          <w:rFonts w:ascii="Times New Roman" w:hAnsi="Times New Roman" w:eastAsia="Times New Roman"/>
          <w:b/>
          <w:i w:val="0"/>
          <w:color w:val="000000"/>
          <w:sz w:val="40"/>
        </w:rPr>
        <w:t>Waste2Value Test Phase Guide</w:t>
      </w:r>
    </w:p>
    <w:p>
      <w:pPr>
        <w:keepNext/>
        <w:spacing w:line="252" w:lineRule="auto" w:before="0" w:after="280"/>
      </w:pPr>
      <w:r>
        <w:rPr>
          <w:rFonts w:ascii="Times New Roman" w:hAnsi="Times New Roman" w:eastAsia="Times New Roman"/>
          <w:b w:val="0"/>
          <w:i w:val="0"/>
          <w:color w:val="000000"/>
          <w:sz w:val="26"/>
        </w:rPr>
        <w:t>Project-specific test scenarios and illustrative examples</w:t>
      </w:r>
    </w:p>
    <w:p>
      <w:pPr>
        <w:keepNext/>
        <w:spacing w:line="252" w:lineRule="auto" w:before="300" w:after="160"/>
      </w:pPr>
      <w:r>
        <w:rPr>
          <w:rFonts w:ascii="Times New Roman" w:hAnsi="Times New Roman" w:eastAsia="Times New Roman"/>
          <w:b/>
          <w:i w:val="0"/>
          <w:color w:val="000000"/>
          <w:sz w:val="40"/>
        </w:rPr>
        <w:t>1. Introduction to the Test Phase</w:t>
      </w:r>
    </w:p>
    <w:p>
      <w:pPr>
        <w:spacing w:line="252" w:lineRule="auto" w:before="100" w:after="140"/>
      </w:pPr>
      <w:r>
        <w:rPr>
          <w:rFonts w:ascii="Times New Roman" w:hAnsi="Times New Roman" w:eastAsia="Times New Roman"/>
          <w:b w:val="0"/>
          <w:i w:val="0"/>
          <w:color w:val="000000"/>
          <w:sz w:val="24"/>
        </w:rPr>
        <w:t>This guide adapts the test-phase format to Waste2Value. It covers the main marketplace at http://127.0.0.1:5000 and the separate admin dashboard at http://127.0.0.1:5001. The sample comments, A/B comparison, and improvement ideas are illustrative examples only; no user test has been run for this document. Scenario status is shown as Not run until actual evidence is recorded.</w:t>
      </w:r>
    </w:p>
    <w:p>
      <w:pPr>
        <w:spacing w:line="252" w:lineRule="auto" w:before="100" w:after="140"/>
      </w:pPr>
      <w:r>
        <w:rPr>
          <w:rFonts w:ascii="Times New Roman" w:hAnsi="Times New Roman" w:eastAsia="Times New Roman"/>
          <w:b w:val="0"/>
          <w:i w:val="0"/>
          <w:color w:val="000000"/>
          <w:sz w:val="24"/>
        </w:rPr>
        <w:t>Waste2Value connects people who want to list or find recyclable materials with recycling guidance and a separate handmade-products marketplace. Its admin app provides restricted management of users, listings, recyclers, and complaints.</w:t>
      </w:r>
    </w:p>
    <w:p>
      <w:pPr>
        <w:keepNext/>
        <w:spacing w:line="252" w:lineRule="auto" w:before="180" w:after="100"/>
        <w:jc w:val="center"/>
      </w:pPr>
      <w:r>
        <w:rPr>
          <w:rFonts w:ascii="Times New Roman" w:hAnsi="Times New Roman" w:eastAsia="Times New Roman"/>
          <w:b/>
          <w:i w:val="0"/>
          <w:color w:val="000000"/>
          <w:sz w:val="26"/>
        </w:rPr>
        <w:t>Test phase flow</w:t>
      </w:r>
    </w:p>
    <w:p>
      <w:pPr>
        <w:keepNext/>
        <w:spacing w:line="252" w:lineRule="auto" w:before="100" w:after="140"/>
        <w:jc w:val="center"/>
      </w:pPr>
      <w:r>
        <w:rPr>
          <w:rFonts w:ascii="Times New Roman" w:hAnsi="Times New Roman" w:eastAsia="Times New Roman"/>
          <w:b w:val="0"/>
          <w:i w:val="0"/>
          <w:color w:val="000000"/>
          <w:sz w:val="24"/>
        </w:rPr>
        <w:t>Prepare  →  Test  →  Observe  →  Capture feedback  →  Prioritize  →  Improve  →  Retest</w:t>
      </w:r>
    </w:p>
    <w:p>
      <w:pPr>
        <w:keepNext/>
        <w:spacing w:line="252" w:lineRule="auto" w:before="300" w:after="160"/>
      </w:pPr>
      <w:r>
        <w:rPr>
          <w:rFonts w:ascii="Times New Roman" w:hAnsi="Times New Roman" w:eastAsia="Times New Roman"/>
          <w:b/>
          <w:i w:val="0"/>
          <w:color w:val="000000"/>
          <w:sz w:val="40"/>
        </w:rPr>
        <w:t>2. Purpose and Scope</w:t>
      </w:r>
    </w:p>
    <w:p>
      <w:pPr>
        <w:spacing w:line="252" w:lineRule="auto" w:before="100" w:after="140"/>
      </w:pPr>
      <w:r>
        <w:rPr>
          <w:rFonts w:ascii="Times New Roman" w:hAnsi="Times New Roman" w:eastAsia="Times New Roman"/>
          <w:b w:val="0"/>
          <w:i w:val="0"/>
          <w:color w:val="000000"/>
          <w:sz w:val="24"/>
        </w:rPr>
        <w:t>Use the test phase to check whether people can complete the project’s main tasks, whether the interface explains the next step, whether role restrictions work, and whether invalid or unavailable data is handled safely. Record evidence and uncertainty; do not infer a pass from a page merely loading.</w:t>
      </w:r>
    </w:p>
    <w:p>
      <w:pPr>
        <w:spacing w:line="252" w:lineRule="auto" w:before="100" w:after="140"/>
      </w:pPr>
      <w:r>
        <w:rPr>
          <w:rFonts w:ascii="Times New Roman" w:hAnsi="Times New Roman" w:eastAsia="Times New Roman"/>
          <w:b w:val="0"/>
          <w:i w:val="0"/>
          <w:color w:val="000000"/>
          <w:sz w:val="24"/>
        </w:rPr>
        <w:t>The plan covers account access, listings and search, offers and pickups, recycling guidance and DIY ideas, handmade-product checkout and order tracking, and admin-only management. Tests should use local or isolated test data. They must not use production data or live payment credentials.</w:t>
      </w:r>
    </w:p>
    <w:p>
      <w:pPr>
        <w:keepNext/>
        <w:spacing w:line="252" w:lineRule="auto" w:before="180" w:after="100"/>
      </w:pPr>
      <w:r>
        <w:rPr>
          <w:rFonts w:ascii="Times New Roman" w:hAnsi="Times New Roman" w:eastAsia="Times New Roman"/>
          <w:b/>
          <w:i w:val="0"/>
          <w:color w:val="000000"/>
          <w:sz w:val="30"/>
        </w:rPr>
        <w:t>Session record</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880"/>
        <w:gridCol w:w="6120"/>
      </w:tblGrid>
      <w:tr>
        <w:trPr>
          <w:cantSplit/>
          <w:tblHeader w:val="true"/>
        </w:trPr>
        <w:tc>
          <w:tcPr>
            <w:tcW w:type="dxa" w:w="2880"/>
            <w:vAlign w:val="center"/>
            <w:tcMar>
              <w:top w:w="150" w:type="dxa"/>
              <w:start w:w="125" w:type="dxa"/>
              <w:bottom w:w="150" w:type="dxa"/>
              <w:end w:w="125" w:type="dxa"/>
            </w:tcMar>
            <w:shd w:fill="DCEAF3" w:val="clear"/>
          </w:tcPr>
          <w:p>
            <w:pPr>
              <w:spacing w:before="20" w:after="50" w:line="252" w:lineRule="auto"/>
            </w:pPr>
            <w:r>
              <w:rPr>
                <w:rFonts w:ascii="Times New Roman" w:hAnsi="Times New Roman" w:eastAsia="Times New Roman"/>
                <w:b/>
                <w:color w:val="000000"/>
                <w:sz w:val="22"/>
              </w:rPr>
              <w:t>Field</w:t>
            </w:r>
          </w:p>
        </w:tc>
        <w:tc>
          <w:tcPr>
            <w:tcW w:type="dxa" w:w="6120"/>
            <w:vAlign w:val="center"/>
            <w:tcMar>
              <w:top w:w="150" w:type="dxa"/>
              <w:start w:w="125" w:type="dxa"/>
              <w:bottom w:w="150" w:type="dxa"/>
              <w:end w:w="125" w:type="dxa"/>
            </w:tcMar>
            <w:shd w:fill="DCEAF3" w:val="clear"/>
          </w:tcPr>
          <w:p>
            <w:pPr>
              <w:spacing w:before="20" w:after="50" w:line="252" w:lineRule="auto"/>
            </w:pPr>
            <w:r>
              <w:rPr>
                <w:rFonts w:ascii="Times New Roman" w:hAnsi="Times New Roman" w:eastAsia="Times New Roman"/>
                <w:b/>
                <w:color w:val="000000"/>
                <w:sz w:val="22"/>
              </w:rPr>
              <w:t>Project context / entry</w:t>
            </w:r>
          </w:p>
        </w:tc>
      </w:tr>
      <w:tr>
        <w:trPr>
          <w:cantSplit/>
        </w:trPr>
        <w:tc>
          <w:tcPr>
            <w:tcW w:type="dxa" w:w="288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22"/>
              </w:rPr>
              <w:t>Build or commit</w:t>
            </w:r>
          </w:p>
        </w:tc>
        <w:tc>
          <w:tcPr>
            <w:tcW w:type="dxa" w:w="612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22"/>
              </w:rPr>
              <w:t>Local working tree; record the commit ID before a real test.</w:t>
            </w:r>
          </w:p>
        </w:tc>
      </w:tr>
      <w:tr>
        <w:trPr>
          <w:cantSplit/>
        </w:trPr>
        <w:tc>
          <w:tcPr>
            <w:tcW w:type="dxa" w:w="288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22"/>
              </w:rPr>
              <w:t>Date and time</w:t>
            </w:r>
          </w:p>
        </w:tc>
        <w:tc>
          <w:tcPr>
            <w:tcW w:type="dxa" w:w="612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22"/>
              </w:rPr>
              <w:t>Not recorded — no test session has been run.</w:t>
            </w:r>
          </w:p>
        </w:tc>
      </w:tr>
      <w:tr>
        <w:trPr>
          <w:cantSplit/>
        </w:trPr>
        <w:tc>
          <w:tcPr>
            <w:tcW w:type="dxa" w:w="288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22"/>
              </w:rPr>
              <w:t>Environment and browser</w:t>
            </w:r>
          </w:p>
        </w:tc>
        <w:tc>
          <w:tcPr>
            <w:tcW w:type="dxa" w:w="612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22"/>
              </w:rPr>
              <w:t>Local main app :5000 and admin app :5001; record the test database and browser version before a run.</w:t>
            </w:r>
          </w:p>
        </w:tc>
      </w:tr>
      <w:tr>
        <w:trPr>
          <w:cantSplit/>
        </w:trPr>
        <w:tc>
          <w:tcPr>
            <w:tcW w:type="dxa" w:w="288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22"/>
              </w:rPr>
              <w:t>Tester and role</w:t>
            </w:r>
          </w:p>
        </w:tc>
        <w:tc>
          <w:tcPr>
            <w:tcW w:type="dxa" w:w="612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22"/>
              </w:rPr>
              <w:t>Not recorded — no tester session has been run.</w:t>
            </w:r>
          </w:p>
        </w:tc>
      </w:tr>
      <w:tr>
        <w:trPr>
          <w:cantSplit/>
        </w:trPr>
        <w:tc>
          <w:tcPr>
            <w:tcW w:type="dxa" w:w="288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22"/>
              </w:rPr>
              <w:t>Test data set or account IDs</w:t>
            </w:r>
          </w:p>
        </w:tc>
        <w:tc>
          <w:tcPr>
            <w:tcW w:type="dxa" w:w="612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22"/>
              </w:rPr>
              <w:t>Use isolated test accounts; record non-sensitive test IDs only.</w:t>
            </w:r>
          </w:p>
        </w:tc>
      </w:tr>
    </w:tbl>
    <w:p>
      <w:pPr>
        <w:spacing w:after="160" w:before="60" w:line="240" w:lineRule="auto"/>
      </w:pPr>
      <w:r>
        <w:rPr>
          <w:rFonts w:ascii="Times New Roman" w:hAnsi="Times New Roman" w:eastAsia="Times New Roman"/>
          <w:b w:val="0"/>
          <w:i w:val="0"/>
          <w:color w:val="000000"/>
          <w:sz w:val="4"/>
        </w:rPr>
      </w:r>
    </w:p>
    <w:p>
      <w:pPr>
        <w:keepNext/>
        <w:spacing w:line="252" w:lineRule="auto" w:before="300" w:after="160"/>
      </w:pPr>
      <w:r>
        <w:rPr>
          <w:rFonts w:ascii="Times New Roman" w:hAnsi="Times New Roman" w:eastAsia="Times New Roman"/>
          <w:b/>
          <w:i w:val="0"/>
          <w:color w:val="000000"/>
          <w:sz w:val="40"/>
        </w:rPr>
        <w:t>3. Prepare the Test Environment</w:t>
      </w:r>
    </w:p>
    <w:p>
      <w:pPr>
        <w:spacing w:line="252" w:lineRule="auto" w:before="100" w:after="140"/>
      </w:pPr>
      <w:r>
        <w:rPr>
          <w:rFonts w:ascii="Times New Roman" w:hAnsi="Times New Roman" w:eastAsia="Times New Roman"/>
          <w:b w:val="0"/>
          <w:i w:val="0"/>
          <w:color w:val="000000"/>
          <w:sz w:val="24"/>
        </w:rPr>
        <w:t>Before inviting a tester, confirm both Flask apps point to the same isolated test database if the session checks cross-app data. Use newly created test accounts and records. Keep passwords, database credentials, and personal information out of this worksheet and screenshots.</w:t>
      </w:r>
    </w:p>
    <w:p>
      <w:pPr>
        <w:spacing w:line="252" w:lineRule="auto" w:before="100" w:after="140"/>
      </w:pPr>
      <w:r>
        <w:rPr>
          <w:rFonts w:ascii="Times New Roman" w:hAnsi="Times New Roman" w:eastAsia="Times New Roman"/>
          <w:b w:val="0"/>
          <w:i w:val="0"/>
          <w:color w:val="000000"/>
          <w:sz w:val="24"/>
        </w:rPr>
        <w:t>Payment safety: test free items and Cash on Delivery with test records. If an online gateway path is included, use a gateway sandbox or a mocked connector with test credentials only. A demo or simulated payment must remain clearly labelled as simulated and must never be recorded as real money paid.</w:t>
      </w:r>
    </w:p>
    <w:p>
      <w:pPr>
        <w:spacing w:line="252" w:lineRule="auto" w:before="100" w:after="140"/>
      </w:pPr>
      <w:r>
        <w:rPr>
          <w:rFonts w:ascii="Times New Roman" w:hAnsi="Times New Roman" w:eastAsia="Times New Roman"/>
          <w:b w:val="0"/>
          <w:i w:val="0"/>
          <w:color w:val="000000"/>
          <w:sz w:val="24"/>
        </w:rPr>
        <w:t>Do not run schema setup, migrations, deletion actions, or destructive cleanup against a database containing real or needed data. Record the environment and stop if its database or payment mode is unclear.</w:t>
      </w:r>
    </w:p>
    <w:p>
      <w:pPr>
        <w:keepNext/>
        <w:spacing w:line="252" w:lineRule="auto" w:before="300" w:after="160"/>
      </w:pPr>
      <w:r>
        <w:rPr>
          <w:rFonts w:ascii="Times New Roman" w:hAnsi="Times New Roman" w:eastAsia="Times New Roman"/>
          <w:b/>
          <w:i w:val="0"/>
          <w:color w:val="000000"/>
          <w:sz w:val="40"/>
        </w:rPr>
        <w:t>4. Methods of Testing</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376"/>
        <w:gridCol w:w="6624"/>
      </w:tblGrid>
      <w:tr>
        <w:trPr>
          <w:cantSplit/>
          <w:tblHeader w:val="true"/>
        </w:trPr>
        <w:tc>
          <w:tcPr>
            <w:tcW w:type="dxa" w:w="2376"/>
            <w:vAlign w:val="center"/>
            <w:tcMar>
              <w:top w:w="150" w:type="dxa"/>
              <w:start w:w="125" w:type="dxa"/>
              <w:bottom w:w="150" w:type="dxa"/>
              <w:end w:w="125" w:type="dxa"/>
            </w:tcMar>
            <w:shd w:fill="DCEAF3" w:val="clear"/>
          </w:tcPr>
          <w:p>
            <w:pPr>
              <w:spacing w:before="20" w:after="50" w:line="252" w:lineRule="auto"/>
              <w:jc w:val="center"/>
            </w:pPr>
            <w:r>
              <w:rPr>
                <w:rFonts w:ascii="Times New Roman" w:hAnsi="Times New Roman" w:eastAsia="Times New Roman"/>
                <w:b/>
                <w:i w:val="0"/>
                <w:color w:val="000000"/>
                <w:sz w:val="21"/>
              </w:rPr>
              <w:t>Method</w:t>
            </w:r>
          </w:p>
        </w:tc>
        <w:tc>
          <w:tcPr>
            <w:tcW w:type="dxa" w:w="6624"/>
            <w:vAlign w:val="center"/>
            <w:tcMar>
              <w:top w:w="150" w:type="dxa"/>
              <w:start w:w="125" w:type="dxa"/>
              <w:bottom w:w="150" w:type="dxa"/>
              <w:end w:w="125" w:type="dxa"/>
            </w:tcMar>
            <w:shd w:fill="DCEAF3" w:val="clear"/>
          </w:tcPr>
          <w:p>
            <w:pPr>
              <w:spacing w:before="20" w:after="50" w:line="252" w:lineRule="auto"/>
              <w:jc w:val="center"/>
            </w:pPr>
            <w:r>
              <w:rPr>
                <w:rFonts w:ascii="Times New Roman" w:hAnsi="Times New Roman" w:eastAsia="Times New Roman"/>
                <w:b/>
                <w:i w:val="0"/>
                <w:color w:val="000000"/>
                <w:sz w:val="21"/>
              </w:rPr>
              <w:t>How to use it for Waste2Value</w:t>
            </w:r>
          </w:p>
        </w:tc>
      </w:tr>
      <w:tr>
        <w:trPr>
          <w:cantSplit/>
        </w:trPr>
        <w:tc>
          <w:tcPr>
            <w:tcW w:type="dxa" w:w="2376"/>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21"/>
              </w:rPr>
              <w:t>Task walkthrough</w:t>
            </w:r>
          </w:p>
        </w:tc>
        <w:tc>
          <w:tcPr>
            <w:tcW w:type="dxa" w:w="6624"/>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21"/>
              </w:rPr>
              <w:t>Give a tester one realistic goal, then observe whether they complete it without coaching.</w:t>
            </w:r>
          </w:p>
        </w:tc>
      </w:tr>
      <w:tr>
        <w:trPr>
          <w:cantSplit/>
        </w:trPr>
        <w:tc>
          <w:tcPr>
            <w:tcW w:type="dxa" w:w="2376"/>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21"/>
              </w:rPr>
              <w:t>Functional check</w:t>
            </w:r>
          </w:p>
        </w:tc>
        <w:tc>
          <w:tcPr>
            <w:tcW w:type="dxa" w:w="6624"/>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21"/>
              </w:rPr>
              <w:t>Verify the expected page, saved record, status, and message for a valid action.</w:t>
            </w:r>
          </w:p>
        </w:tc>
      </w:tr>
      <w:tr>
        <w:trPr>
          <w:cantSplit/>
        </w:trPr>
        <w:tc>
          <w:tcPr>
            <w:tcW w:type="dxa" w:w="2376"/>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21"/>
              </w:rPr>
              <w:t>Boundary and validation</w:t>
            </w:r>
          </w:p>
        </w:tc>
        <w:tc>
          <w:tcPr>
            <w:tcW w:type="dxa" w:w="6624"/>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21"/>
              </w:rPr>
              <w:t>Try missing, malformed, unavailable, or changed values and record how the app responds.</w:t>
            </w:r>
          </w:p>
        </w:tc>
      </w:tr>
      <w:tr>
        <w:trPr>
          <w:cantSplit/>
        </w:trPr>
        <w:tc>
          <w:tcPr>
            <w:tcW w:type="dxa" w:w="2376"/>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21"/>
              </w:rPr>
              <w:t>Role and access check</w:t>
            </w:r>
          </w:p>
        </w:tc>
        <w:tc>
          <w:tcPr>
            <w:tcW w:type="dxa" w:w="6624"/>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21"/>
              </w:rPr>
              <w:t>Repeat protected actions as a guest, buyer, seller, and admin; confirm only the intended role can proceed.</w:t>
            </w:r>
          </w:p>
        </w:tc>
      </w:tr>
      <w:tr>
        <w:trPr>
          <w:cantSplit/>
        </w:trPr>
        <w:tc>
          <w:tcPr>
            <w:tcW w:type="dxa" w:w="2376"/>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21"/>
              </w:rPr>
              <w:t>Cross-app check</w:t>
            </w:r>
          </w:p>
        </w:tc>
        <w:tc>
          <w:tcPr>
            <w:tcW w:type="dxa" w:w="6624"/>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21"/>
              </w:rPr>
              <w:t>Use test records to confirm a permitted main-app change is reflected in the admin app and vice versa.</w:t>
            </w:r>
          </w:p>
        </w:tc>
      </w:tr>
      <w:tr>
        <w:trPr>
          <w:cantSplit/>
        </w:trPr>
        <w:tc>
          <w:tcPr>
            <w:tcW w:type="dxa" w:w="2376"/>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21"/>
              </w:rPr>
              <w:t>Usability observation</w:t>
            </w:r>
          </w:p>
        </w:tc>
        <w:tc>
          <w:tcPr>
            <w:tcW w:type="dxa" w:w="6624"/>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21"/>
              </w:rPr>
              <w:t>Record hesitation, backtracking, assistance, task time, and words users use to describe confusion.</w:t>
            </w:r>
          </w:p>
        </w:tc>
      </w:tr>
    </w:tbl>
    <w:p>
      <w:pPr>
        <w:spacing w:after="160" w:before="60" w:line="240" w:lineRule="auto"/>
      </w:pPr>
      <w:r>
        <w:rPr>
          <w:rFonts w:ascii="Times New Roman" w:hAnsi="Times New Roman" w:eastAsia="Times New Roman"/>
          <w:b w:val="0"/>
          <w:i w:val="0"/>
          <w:color w:val="000000"/>
          <w:sz w:val="4"/>
        </w:rPr>
      </w:r>
    </w:p>
    <w:p>
      <w:pPr>
        <w:keepNext/>
        <w:spacing w:line="252" w:lineRule="auto" w:before="300" w:after="160"/>
      </w:pPr>
      <w:r>
        <w:rPr>
          <w:rFonts w:ascii="Times New Roman" w:hAnsi="Times New Roman" w:eastAsia="Times New Roman"/>
          <w:b/>
          <w:i w:val="0"/>
          <w:color w:val="000000"/>
          <w:sz w:val="40"/>
        </w:rPr>
        <w:t>5. Feedback Capture Grid</w:t>
      </w:r>
    </w:p>
    <w:p>
      <w:pPr>
        <w:spacing w:line="252" w:lineRule="auto" w:before="100" w:after="140"/>
      </w:pPr>
      <w:r>
        <w:rPr>
          <w:rFonts w:ascii="Times New Roman" w:hAnsi="Times New Roman" w:eastAsia="Times New Roman"/>
          <w:b w:val="0"/>
          <w:i w:val="0"/>
          <w:color w:val="000000"/>
          <w:sz w:val="24"/>
        </w:rPr>
        <w:t>The entries below show how feedback could be recorded. They are hypothetical examples, not comments collected from Waste2Value users.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500"/>
        <w:gridCol w:w="4500"/>
      </w:tblGrid>
      <w:tr>
        <w:trPr>
          <w:cantSplit/>
        </w:trPr>
        <w:tc>
          <w:tcPr>
            <w:tcW w:type="dxa" w:w="4500"/>
            <w:vAlign w:val="center"/>
            <w:tcMar>
              <w:top w:w="150" w:type="dxa"/>
              <w:start w:w="125" w:type="dxa"/>
              <w:bottom w:w="150" w:type="dxa"/>
              <w:end w:w="125" w:type="dxa"/>
            </w:tcMar>
          </w:tcPr>
          <w:p>
            <w:pPr>
              <w:spacing w:before="20" w:after="50" w:line="252" w:lineRule="auto"/>
            </w:pPr>
            <w:r>
              <w:rPr>
                <w:rFonts w:ascii="Times New Roman" w:hAnsi="Times New Roman" w:eastAsia="Times New Roman"/>
                <w:b/>
                <w:color w:val="000000"/>
                <w:sz w:val="23"/>
              </w:rPr>
              <w:t>LIKES</w:t>
            </w:r>
          </w:p>
        </w:tc>
        <w:tc>
          <w:tcPr>
            <w:tcW w:type="dxa" w:w="4500"/>
            <w:vAlign w:val="center"/>
            <w:tcMar>
              <w:top w:w="150" w:type="dxa"/>
              <w:start w:w="125" w:type="dxa"/>
              <w:bottom w:w="150" w:type="dxa"/>
              <w:end w:w="125" w:type="dxa"/>
            </w:tcMar>
          </w:tcPr>
          <w:p>
            <w:pPr>
              <w:spacing w:before="20" w:after="50" w:line="252" w:lineRule="auto"/>
            </w:pPr>
            <w:r>
              <w:rPr>
                <w:rFonts w:ascii="Times New Roman" w:hAnsi="Times New Roman" w:eastAsia="Times New Roman"/>
                <w:b/>
                <w:color w:val="000000"/>
                <w:sz w:val="23"/>
              </w:rPr>
              <w:t>CRITICISMS</w:t>
            </w:r>
          </w:p>
        </w:tc>
      </w:tr>
      <w:tr>
        <w:trPr>
          <w:cantSplit/>
        </w:trPr>
        <w:tc>
          <w:tcPr>
            <w:tcW w:type="dxa" w:w="450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22"/>
              </w:rPr>
              <w:t>Illustrative sample: “I found the plastic scrap listing by category.”</w:t>
            </w:r>
          </w:p>
        </w:tc>
        <w:tc>
          <w:tcPr>
            <w:tcW w:type="dxa" w:w="450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22"/>
              </w:rPr>
              <w:t>Illustrative sample: “I was not sure whether to open recycling ideas or the handmade-products marketplace.”</w:t>
            </w:r>
          </w:p>
        </w:tc>
      </w:tr>
      <w:tr>
        <w:trPr>
          <w:cantSplit/>
        </w:trPr>
        <w:tc>
          <w:tcPr>
            <w:tcW w:type="dxa" w:w="4500"/>
            <w:vAlign w:val="center"/>
            <w:tcMar>
              <w:top w:w="150" w:type="dxa"/>
              <w:start w:w="125" w:type="dxa"/>
              <w:bottom w:w="150" w:type="dxa"/>
              <w:end w:w="125" w:type="dxa"/>
            </w:tcMar>
          </w:tcPr>
          <w:p>
            <w:pPr>
              <w:spacing w:before="20" w:after="50" w:line="252" w:lineRule="auto"/>
            </w:pPr>
            <w:r>
              <w:rPr>
                <w:rFonts w:ascii="Times New Roman" w:hAnsi="Times New Roman" w:eastAsia="Times New Roman"/>
                <w:b/>
                <w:color w:val="000000"/>
                <w:sz w:val="23"/>
              </w:rPr>
              <w:t>QUESTIONS</w:t>
            </w:r>
          </w:p>
        </w:tc>
        <w:tc>
          <w:tcPr>
            <w:tcW w:type="dxa" w:w="4500"/>
            <w:vAlign w:val="center"/>
            <w:tcMar>
              <w:top w:w="150" w:type="dxa"/>
              <w:start w:w="125" w:type="dxa"/>
              <w:bottom w:w="150" w:type="dxa"/>
              <w:end w:w="125" w:type="dxa"/>
            </w:tcMar>
          </w:tcPr>
          <w:p>
            <w:pPr>
              <w:spacing w:before="20" w:after="50" w:line="252" w:lineRule="auto"/>
            </w:pPr>
            <w:r>
              <w:rPr>
                <w:rFonts w:ascii="Times New Roman" w:hAnsi="Times New Roman" w:eastAsia="Times New Roman"/>
                <w:b/>
                <w:color w:val="000000"/>
                <w:sz w:val="23"/>
              </w:rPr>
              <w:t>IDEAS</w:t>
            </w:r>
          </w:p>
        </w:tc>
      </w:tr>
      <w:tr>
        <w:trPr>
          <w:cantSplit/>
        </w:trPr>
        <w:tc>
          <w:tcPr>
            <w:tcW w:type="dxa" w:w="450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22"/>
              </w:rPr>
              <w:t>Illustrative sample: “Will the seller see my pickup details after I place an offer?”</w:t>
            </w:r>
          </w:p>
        </w:tc>
        <w:tc>
          <w:tcPr>
            <w:tcW w:type="dxa" w:w="450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22"/>
              </w:rPr>
              <w:t>Illustrative sample: “Show listing availability and pickup status together on the details page.”</w:t>
            </w:r>
          </w:p>
        </w:tc>
      </w:tr>
    </w:tbl>
    <w:p>
      <w:pPr>
        <w:spacing w:after="160" w:before="60" w:line="240" w:lineRule="auto"/>
      </w:pPr>
      <w:r>
        <w:rPr>
          <w:rFonts w:ascii="Times New Roman" w:hAnsi="Times New Roman" w:eastAsia="Times New Roman"/>
          <w:b w:val="0"/>
          <w:i w:val="0"/>
          <w:color w:val="000000"/>
          <w:sz w:val="4"/>
        </w:rPr>
      </w:r>
    </w:p>
    <w:p>
      <w:pPr>
        <w:keepNext/>
        <w:spacing w:line="252" w:lineRule="auto" w:before="300" w:after="160"/>
      </w:pPr>
      <w:r>
        <w:rPr>
          <w:rFonts w:ascii="Times New Roman" w:hAnsi="Times New Roman" w:eastAsia="Times New Roman"/>
          <w:b/>
          <w:i w:val="0"/>
          <w:color w:val="000000"/>
          <w:sz w:val="40"/>
        </w:rPr>
        <w:t>6. How to Conduct a Test Activity</w:t>
      </w:r>
    </w:p>
    <w:p>
      <w:pPr>
        <w:keepNext/>
        <w:spacing w:line="252" w:lineRule="auto" w:before="180" w:after="100"/>
      </w:pPr>
      <w:r>
        <w:rPr>
          <w:rFonts w:ascii="Times New Roman" w:hAnsi="Times New Roman" w:eastAsia="Times New Roman"/>
          <w:b/>
          <w:i w:val="0"/>
          <w:color w:val="000000"/>
          <w:sz w:val="30"/>
        </w:rPr>
        <w:t>Step 1 — Choose a role and a test account</w:t>
      </w:r>
    </w:p>
    <w:p>
      <w:pPr>
        <w:spacing w:line="252" w:lineRule="auto" w:before="100" w:after="140"/>
      </w:pPr>
      <w:r>
        <w:rPr>
          <w:rFonts w:ascii="Times New Roman" w:hAnsi="Times New Roman" w:eastAsia="Times New Roman"/>
          <w:b w:val="0"/>
          <w:i w:val="0"/>
          <w:color w:val="000000"/>
          <w:sz w:val="24"/>
        </w:rPr>
        <w:t>Select one role for each run: guest, buyer, seller, or admin. Use test accounts with only the records needed for that task.</w:t>
      </w:r>
    </w:p>
    <w:p>
      <w:pPr>
        <w:keepNext/>
        <w:spacing w:line="252" w:lineRule="auto" w:before="180" w:after="100"/>
      </w:pPr>
      <w:r>
        <w:rPr>
          <w:rFonts w:ascii="Times New Roman" w:hAnsi="Times New Roman" w:eastAsia="Times New Roman"/>
          <w:b/>
          <w:i w:val="0"/>
          <w:color w:val="000000"/>
          <w:sz w:val="30"/>
        </w:rPr>
        <w:t>Step 2 — Give the task without explaining the interface</w:t>
      </w:r>
    </w:p>
    <w:p>
      <w:pPr>
        <w:spacing w:line="252" w:lineRule="auto" w:before="100" w:after="140"/>
      </w:pPr>
      <w:r>
        <w:rPr>
          <w:rFonts w:ascii="Times New Roman" w:hAnsi="Times New Roman" w:eastAsia="Times New Roman"/>
          <w:b w:val="0"/>
          <w:i w:val="0"/>
          <w:color w:val="000000"/>
          <w:sz w:val="24"/>
        </w:rPr>
        <w:t>Examples: “Find a recyclable item near you and view its details,” “Add a handmade product to an order using test delivery details,” or “Review a test listing in the admin dashboard.” Do not tell the tester which button to press.</w:t>
      </w:r>
    </w:p>
    <w:p>
      <w:pPr>
        <w:keepNext/>
        <w:spacing w:line="252" w:lineRule="auto" w:before="180" w:after="100"/>
      </w:pPr>
      <w:r>
        <w:rPr>
          <w:rFonts w:ascii="Times New Roman" w:hAnsi="Times New Roman" w:eastAsia="Times New Roman"/>
          <w:b/>
          <w:i w:val="0"/>
          <w:color w:val="000000"/>
          <w:sz w:val="30"/>
        </w:rPr>
        <w:t>Step 3 — Observe and record</w:t>
      </w:r>
    </w:p>
    <w:p>
      <w:pPr>
        <w:spacing w:line="252" w:lineRule="auto" w:before="100" w:after="140"/>
      </w:pPr>
      <w:r>
        <w:rPr>
          <w:rFonts w:ascii="Times New Roman" w:hAnsi="Times New Roman" w:eastAsia="Times New Roman"/>
          <w:b w:val="0"/>
          <w:i w:val="0"/>
          <w:color w:val="000000"/>
          <w:sz w:val="24"/>
        </w:rPr>
        <w:t>Record whether the task was completed, time taken, errors, help requested, where the tester paused, and any visible status or message. Separate what you saw from what the tester said.</w:t>
      </w:r>
    </w:p>
    <w:p>
      <w:pPr>
        <w:keepNext/>
        <w:spacing w:line="252" w:lineRule="auto" w:before="180" w:after="100"/>
      </w:pPr>
      <w:r>
        <w:rPr>
          <w:rFonts w:ascii="Times New Roman" w:hAnsi="Times New Roman" w:eastAsia="Times New Roman"/>
          <w:b/>
          <w:i w:val="0"/>
          <w:color w:val="000000"/>
          <w:sz w:val="30"/>
        </w:rPr>
        <w:t>Step 4 — Capture feedback and classify defects</w:t>
      </w:r>
    </w:p>
    <w:p>
      <w:pPr>
        <w:spacing w:line="252" w:lineRule="auto" w:before="100" w:after="140"/>
      </w:pPr>
      <w:r>
        <w:rPr>
          <w:rFonts w:ascii="Times New Roman" w:hAnsi="Times New Roman" w:eastAsia="Times New Roman"/>
          <w:b w:val="0"/>
          <w:i w:val="0"/>
          <w:color w:val="000000"/>
          <w:sz w:val="24"/>
        </w:rPr>
        <w:t>Add comments to the feedback grid. For each defect, record its test ID, evidence, impact, and priority. Use Blocker, High, Medium, or Low consistently, and do not mark a result as Pass until the expected outcome has been checked.</w:t>
      </w:r>
    </w:p>
    <w:p>
      <w:pPr>
        <w:keepNext/>
        <w:spacing w:line="252" w:lineRule="auto" w:before="300" w:after="160"/>
      </w:pPr>
      <w:r>
        <w:rPr>
          <w:rFonts w:ascii="Times New Roman" w:hAnsi="Times New Roman" w:eastAsia="Times New Roman"/>
          <w:b/>
          <w:i w:val="0"/>
          <w:color w:val="000000"/>
          <w:sz w:val="40"/>
        </w:rPr>
        <w:t>7. Waste2Value Test Scenarios</w:t>
      </w:r>
    </w:p>
    <w:p>
      <w:pPr>
        <w:spacing w:line="252" w:lineRule="auto" w:before="100" w:after="140"/>
      </w:pPr>
      <w:r>
        <w:rPr>
          <w:rFonts w:ascii="Times New Roman" w:hAnsi="Times New Roman" w:eastAsia="Times New Roman"/>
          <w:b w:val="0"/>
          <w:i w:val="0"/>
          <w:color w:val="000000"/>
          <w:sz w:val="24"/>
        </w:rPr>
        <w:t>Run only the scenarios supported by the current build and the isolated test setup. For each row, record Pass, Fail, Blocked, or Not run and add evidence in the observation log. Blank status means no result has been recorded.</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792"/>
        <w:gridCol w:w="1123"/>
        <w:gridCol w:w="2088"/>
        <w:gridCol w:w="3845"/>
        <w:gridCol w:w="1080"/>
      </w:tblGrid>
      <w:tr>
        <w:trPr>
          <w:cantSplit/>
          <w:tblHeader w:val="true"/>
        </w:trPr>
        <w:tc>
          <w:tcPr>
            <w:tcW w:type="dxa" w:w="792"/>
            <w:vAlign w:val="center"/>
            <w:tcMar>
              <w:top w:w="150" w:type="dxa"/>
              <w:start w:w="125" w:type="dxa"/>
              <w:bottom w:w="150" w:type="dxa"/>
              <w:end w:w="125" w:type="dxa"/>
            </w:tcMar>
            <w:shd w:fill="DCEAF3" w:val="clear"/>
          </w:tcPr>
          <w:p>
            <w:pPr>
              <w:spacing w:before="20" w:after="50" w:line="252" w:lineRule="auto"/>
              <w:jc w:val="center"/>
            </w:pPr>
            <w:r>
              <w:rPr>
                <w:rFonts w:ascii="Times New Roman" w:hAnsi="Times New Roman" w:eastAsia="Times New Roman"/>
                <w:b/>
                <w:i w:val="0"/>
                <w:color w:val="000000"/>
                <w:sz w:val="19"/>
              </w:rPr>
              <w:t>ID</w:t>
            </w:r>
          </w:p>
        </w:tc>
        <w:tc>
          <w:tcPr>
            <w:tcW w:type="dxa" w:w="1123"/>
            <w:vAlign w:val="center"/>
            <w:tcMar>
              <w:top w:w="150" w:type="dxa"/>
              <w:start w:w="125" w:type="dxa"/>
              <w:bottom w:w="150" w:type="dxa"/>
              <w:end w:w="125" w:type="dxa"/>
            </w:tcMar>
            <w:shd w:fill="DCEAF3" w:val="clear"/>
          </w:tcPr>
          <w:p>
            <w:pPr>
              <w:spacing w:before="20" w:after="50" w:line="252" w:lineRule="auto"/>
              <w:jc w:val="center"/>
            </w:pPr>
            <w:r>
              <w:rPr>
                <w:rFonts w:ascii="Times New Roman" w:hAnsi="Times New Roman" w:eastAsia="Times New Roman"/>
                <w:b/>
                <w:i w:val="0"/>
                <w:color w:val="000000"/>
                <w:sz w:val="19"/>
              </w:rPr>
              <w:t>Role</w:t>
            </w:r>
          </w:p>
        </w:tc>
        <w:tc>
          <w:tcPr>
            <w:tcW w:type="dxa" w:w="2088"/>
            <w:vAlign w:val="center"/>
            <w:tcMar>
              <w:top w:w="150" w:type="dxa"/>
              <w:start w:w="125" w:type="dxa"/>
              <w:bottom w:w="150" w:type="dxa"/>
              <w:end w:w="125" w:type="dxa"/>
            </w:tcMar>
            <w:shd w:fill="DCEAF3" w:val="clear"/>
          </w:tcPr>
          <w:p>
            <w:pPr>
              <w:spacing w:before="20" w:after="50" w:line="252" w:lineRule="auto"/>
              <w:jc w:val="center"/>
            </w:pPr>
            <w:r>
              <w:rPr>
                <w:rFonts w:ascii="Times New Roman" w:hAnsi="Times New Roman" w:eastAsia="Times New Roman"/>
                <w:b/>
                <w:i w:val="0"/>
                <w:color w:val="000000"/>
                <w:sz w:val="19"/>
              </w:rPr>
              <w:t>Task</w:t>
            </w:r>
          </w:p>
        </w:tc>
        <w:tc>
          <w:tcPr>
            <w:tcW w:type="dxa" w:w="3845"/>
            <w:vAlign w:val="center"/>
            <w:tcMar>
              <w:top w:w="150" w:type="dxa"/>
              <w:start w:w="125" w:type="dxa"/>
              <w:bottom w:w="150" w:type="dxa"/>
              <w:end w:w="125" w:type="dxa"/>
            </w:tcMar>
            <w:shd w:fill="DCEAF3" w:val="clear"/>
          </w:tcPr>
          <w:p>
            <w:pPr>
              <w:spacing w:before="20" w:after="50" w:line="252" w:lineRule="auto"/>
              <w:jc w:val="center"/>
            </w:pPr>
            <w:r>
              <w:rPr>
                <w:rFonts w:ascii="Times New Roman" w:hAnsi="Times New Roman" w:eastAsia="Times New Roman"/>
                <w:b/>
                <w:i w:val="0"/>
                <w:color w:val="000000"/>
                <w:sz w:val="19"/>
              </w:rPr>
              <w:t>Expected result</w:t>
            </w:r>
          </w:p>
        </w:tc>
        <w:tc>
          <w:tcPr>
            <w:tcW w:type="dxa" w:w="1080"/>
            <w:vAlign w:val="center"/>
            <w:tcMar>
              <w:top w:w="150" w:type="dxa"/>
              <w:start w:w="125" w:type="dxa"/>
              <w:bottom w:w="150" w:type="dxa"/>
              <w:end w:w="125" w:type="dxa"/>
            </w:tcMar>
            <w:shd w:fill="DCEAF3" w:val="clear"/>
          </w:tcPr>
          <w:p>
            <w:pPr>
              <w:spacing w:before="20" w:after="50" w:line="252" w:lineRule="auto"/>
              <w:jc w:val="center"/>
            </w:pPr>
            <w:r>
              <w:rPr>
                <w:rFonts w:ascii="Times New Roman" w:hAnsi="Times New Roman" w:eastAsia="Times New Roman"/>
                <w:b/>
                <w:i w:val="0"/>
                <w:color w:val="000000"/>
                <w:sz w:val="19"/>
              </w:rPr>
              <w:t>Status</w:t>
            </w:r>
          </w:p>
        </w:tc>
      </w:tr>
      <w:tr>
        <w:trPr>
          <w:cantSplit/>
        </w:trPr>
        <w:tc>
          <w:tcPr>
            <w:tcW w:type="dxa" w:w="792"/>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WV-01</w:t>
            </w:r>
          </w:p>
        </w:tc>
        <w:tc>
          <w:tcPr>
            <w:tcW w:type="dxa" w:w="1123"/>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Guest / user</w:t>
            </w:r>
          </w:p>
        </w:tc>
        <w:tc>
          <w:tcPr>
            <w:tcW w:type="dxa" w:w="2088"/>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Open a protected action; register or log in with a test account; then log out.</w:t>
            </w:r>
          </w:p>
        </w:tc>
        <w:tc>
          <w:tcPr>
            <w:tcW w:type="dxa" w:w="3845"/>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Protected actions require authentication. Invalid credentials do not create a session; logout ends the session.</w:t>
            </w:r>
          </w:p>
        </w:tc>
        <w:tc>
          <w:tcPr>
            <w:tcW w:type="dxa" w:w="108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9"/>
              </w:rPr>
              <w:t>Not run</w:t>
            </w:r>
          </w:p>
        </w:tc>
      </w:tr>
      <w:tr>
        <w:trPr>
          <w:cantSplit/>
        </w:trPr>
        <w:tc>
          <w:tcPr>
            <w:tcW w:type="dxa" w:w="792"/>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WV-02</w:t>
            </w:r>
          </w:p>
        </w:tc>
        <w:tc>
          <w:tcPr>
            <w:tcW w:type="dxa" w:w="1123"/>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Seller / buyer</w:t>
            </w:r>
          </w:p>
        </w:tc>
        <w:tc>
          <w:tcPr>
            <w:tcW w:type="dxa" w:w="2088"/>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Create a valid test listing, search for it, and open its details.</w:t>
            </w:r>
          </w:p>
        </w:tc>
        <w:tc>
          <w:tcPr>
            <w:tcW w:type="dxa" w:w="3845"/>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A valid available listing can be found and its details match the saved record. Invalid values are rejected.</w:t>
            </w:r>
          </w:p>
        </w:tc>
        <w:tc>
          <w:tcPr>
            <w:tcW w:type="dxa" w:w="108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9"/>
              </w:rPr>
              <w:t>Not run</w:t>
            </w:r>
          </w:p>
        </w:tc>
      </w:tr>
      <w:tr>
        <w:trPr>
          <w:cantSplit/>
        </w:trPr>
        <w:tc>
          <w:tcPr>
            <w:tcW w:type="dxa" w:w="792"/>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WV-03</w:t>
            </w:r>
          </w:p>
        </w:tc>
        <w:tc>
          <w:tcPr>
            <w:tcW w:type="dxa" w:w="1123"/>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Buyer / seller</w:t>
            </w:r>
          </w:p>
        </w:tc>
        <w:tc>
          <w:tcPr>
            <w:tcW w:type="dxa" w:w="2088"/>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Submit an offer and schedule a pickup for a test listing.</w:t>
            </w:r>
          </w:p>
        </w:tc>
        <w:tc>
          <w:tcPr>
            <w:tcW w:type="dxa" w:w="3845"/>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The offer and pickup are associated with the intended listing and participants; their displayed statuses are consistent.</w:t>
            </w:r>
          </w:p>
        </w:tc>
        <w:tc>
          <w:tcPr>
            <w:tcW w:type="dxa" w:w="108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9"/>
              </w:rPr>
              <w:t>Not run</w:t>
            </w:r>
          </w:p>
        </w:tc>
      </w:tr>
      <w:tr>
        <w:trPr>
          <w:cantSplit/>
        </w:trPr>
        <w:tc>
          <w:tcPr>
            <w:tcW w:type="dxa" w:w="792"/>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WV-04</w:t>
            </w:r>
          </w:p>
        </w:tc>
        <w:tc>
          <w:tcPr>
            <w:tcW w:type="dxa" w:w="1123"/>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Guest / user</w:t>
            </w:r>
          </w:p>
        </w:tc>
        <w:tc>
          <w:tcPr>
            <w:tcW w:type="dxa" w:w="2088"/>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Ask the recycling assistant about a supported waste item; browse a DIY idea category and detail.</w:t>
            </w:r>
          </w:p>
        </w:tc>
        <w:tc>
          <w:tcPr>
            <w:tcW w:type="dxa" w:w="3845"/>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The assistant returns a response and valid idea pages load. Unsupported input or routes are handled without an unhandled error.</w:t>
            </w:r>
          </w:p>
        </w:tc>
        <w:tc>
          <w:tcPr>
            <w:tcW w:type="dxa" w:w="108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9"/>
              </w:rPr>
              <w:t>Not run</w:t>
            </w:r>
          </w:p>
        </w:tc>
      </w:tr>
      <w:tr>
        <w:trPr>
          <w:cantSplit/>
        </w:trPr>
        <w:tc>
          <w:tcPr>
            <w:tcW w:type="dxa" w:w="792"/>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WV-05</w:t>
            </w:r>
          </w:p>
        </w:tc>
        <w:tc>
          <w:tcPr>
            <w:tcW w:type="dxa" w:w="1123"/>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Buyer / seller</w:t>
            </w:r>
          </w:p>
        </w:tc>
        <w:tc>
          <w:tcPr>
            <w:tcW w:type="dxa" w:w="2088"/>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Open a handmade product; attempt checkout as its owner and for an unavailable item.</w:t>
            </w:r>
          </w:p>
        </w:tc>
        <w:tc>
          <w:tcPr>
            <w:tcW w:type="dxa" w:w="3845"/>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A seller cannot buy their own item; unavailable items cannot be ordered. A price or availability change is rechecked.</w:t>
            </w:r>
          </w:p>
        </w:tc>
        <w:tc>
          <w:tcPr>
            <w:tcW w:type="dxa" w:w="108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9"/>
              </w:rPr>
              <w:t>Not run</w:t>
            </w:r>
          </w:p>
        </w:tc>
      </w:tr>
      <w:tr>
        <w:trPr>
          <w:cantSplit/>
        </w:trPr>
        <w:tc>
          <w:tcPr>
            <w:tcW w:type="dxa" w:w="792"/>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WV-06</w:t>
            </w:r>
          </w:p>
        </w:tc>
        <w:tc>
          <w:tcPr>
            <w:tcW w:type="dxa" w:w="1123"/>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Buyer</w:t>
            </w:r>
          </w:p>
        </w:tc>
        <w:tc>
          <w:tcPr>
            <w:tcW w:type="dxa" w:w="2088"/>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Submit checkout with incomplete delivery details, then use valid test details for a free item or COD.</w:t>
            </w:r>
          </w:p>
        </w:tc>
        <w:tc>
          <w:tcPr>
            <w:tcW w:type="dxa" w:w="3845"/>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Invalid details are rejected. Free items require no payment; COD is recorded as COD and the order summary is clear.</w:t>
            </w:r>
          </w:p>
        </w:tc>
        <w:tc>
          <w:tcPr>
            <w:tcW w:type="dxa" w:w="108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9"/>
              </w:rPr>
              <w:t>Not run</w:t>
            </w:r>
          </w:p>
        </w:tc>
      </w:tr>
      <w:tr>
        <w:trPr>
          <w:cantSplit/>
        </w:trPr>
        <w:tc>
          <w:tcPr>
            <w:tcW w:type="dxa" w:w="792"/>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WV-07</w:t>
            </w:r>
          </w:p>
        </w:tc>
        <w:tc>
          <w:tcPr>
            <w:tcW w:type="dxa" w:w="1123"/>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Buyer / seller</w:t>
            </w:r>
          </w:p>
        </w:tc>
        <w:tc>
          <w:tcPr>
            <w:tcW w:type="dxa" w:w="2088"/>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Review an order and attempt the permitted next status and an invalid transition.</w:t>
            </w:r>
          </w:p>
        </w:tc>
        <w:tc>
          <w:tcPr>
            <w:tcW w:type="dxa" w:w="3845"/>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The order is visible to the proper participants. Allowed status changes and tracking are clear; invalid transitions do not advance it.</w:t>
            </w:r>
          </w:p>
        </w:tc>
        <w:tc>
          <w:tcPr>
            <w:tcW w:type="dxa" w:w="108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9"/>
              </w:rPr>
              <w:t>Not run</w:t>
            </w:r>
          </w:p>
        </w:tc>
      </w:tr>
      <w:tr>
        <w:trPr>
          <w:cantSplit/>
        </w:trPr>
        <w:tc>
          <w:tcPr>
            <w:tcW w:type="dxa" w:w="792"/>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WV-08</w:t>
            </w:r>
          </w:p>
        </w:tc>
        <w:tc>
          <w:tcPr>
            <w:tcW w:type="dxa" w:w="1123"/>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Guest / admin</w:t>
            </w:r>
          </w:p>
        </w:tc>
        <w:tc>
          <w:tcPr>
            <w:tcW w:type="dxa" w:w="2088"/>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Open the admin dashboard while logged out, then sign in with the test admin account.</w:t>
            </w:r>
          </w:p>
        </w:tc>
        <w:tc>
          <w:tcPr>
            <w:tcW w:type="dxa" w:w="3845"/>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Admin pages require an admin session. A valid admin can reach the dashboard; a normal user cannot use admin actions.</w:t>
            </w:r>
          </w:p>
        </w:tc>
        <w:tc>
          <w:tcPr>
            <w:tcW w:type="dxa" w:w="108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9"/>
              </w:rPr>
              <w:t>Not run</w:t>
            </w:r>
          </w:p>
        </w:tc>
      </w:tr>
      <w:tr>
        <w:trPr>
          <w:cantSplit/>
        </w:trPr>
        <w:tc>
          <w:tcPr>
            <w:tcW w:type="dxa" w:w="792"/>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WV-09</w:t>
            </w:r>
          </w:p>
        </w:tc>
        <w:tc>
          <w:tcPr>
            <w:tcW w:type="dxa" w:w="1123"/>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Admin</w:t>
            </w:r>
          </w:p>
        </w:tc>
        <w:tc>
          <w:tcPr>
            <w:tcW w:type="dxa" w:w="2088"/>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Review test users, listings, recyclers, and complaints; exercise one permitted action on each applicable record.</w:t>
            </w:r>
          </w:p>
        </w:tc>
        <w:tc>
          <w:tcPr>
            <w:tcW w:type="dxa" w:w="3845"/>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Only intended admin actions succeed. Listing remove/archive/restore changes visibility by status and does not delete related records.</w:t>
            </w:r>
          </w:p>
        </w:tc>
        <w:tc>
          <w:tcPr>
            <w:tcW w:type="dxa" w:w="108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9"/>
              </w:rPr>
              <w:t>Not run</w:t>
            </w:r>
          </w:p>
        </w:tc>
      </w:tr>
      <w:tr>
        <w:trPr>
          <w:cantSplit/>
        </w:trPr>
        <w:tc>
          <w:tcPr>
            <w:tcW w:type="dxa" w:w="792"/>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WV-10</w:t>
            </w:r>
          </w:p>
        </w:tc>
        <w:tc>
          <w:tcPr>
            <w:tcW w:type="dxa" w:w="1123"/>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All roles</w:t>
            </w:r>
          </w:p>
        </w:tc>
        <w:tc>
          <w:tcPr>
            <w:tcW w:type="dxa" w:w="2088"/>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Try a role mismatch, missing required value, invalid ID, or form submission without its expected protection.</w:t>
            </w:r>
          </w:p>
        </w:tc>
        <w:tc>
          <w:tcPr>
            <w:tcW w:type="dxa" w:w="3845"/>
            <w:vAlign w:val="center"/>
            <w:tcMar>
              <w:top w:w="150" w:type="dxa"/>
              <w:start w:w="125" w:type="dxa"/>
              <w:bottom w:w="150" w:type="dxa"/>
              <w:end w:w="125" w:type="dxa"/>
            </w:tcMar>
          </w:tcPr>
          <w:p>
            <w:pPr>
              <w:spacing w:before="20" w:after="50" w:line="252" w:lineRule="auto"/>
              <w:jc w:val="left"/>
            </w:pPr>
            <w:r>
              <w:rPr>
                <w:rFonts w:ascii="Times New Roman" w:hAnsi="Times New Roman" w:eastAsia="Times New Roman"/>
                <w:b w:val="0"/>
                <w:i w:val="0"/>
                <w:color w:val="000000"/>
                <w:sz w:val="19"/>
              </w:rPr>
              <w:t>The request is rejected or safely redirected; no unauthorized record change or sensitive error detail is exposed.</w:t>
            </w:r>
          </w:p>
        </w:tc>
        <w:tc>
          <w:tcPr>
            <w:tcW w:type="dxa" w:w="108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9"/>
              </w:rPr>
              <w:t>Not run</w:t>
            </w:r>
          </w:p>
        </w:tc>
      </w:tr>
    </w:tbl>
    <w:p>
      <w:pPr>
        <w:spacing w:after="160" w:before="60" w:line="240" w:lineRule="auto"/>
      </w:pPr>
      <w:r>
        <w:rPr>
          <w:rFonts w:ascii="Times New Roman" w:hAnsi="Times New Roman" w:eastAsia="Times New Roman"/>
          <w:b w:val="0"/>
          <w:i w:val="0"/>
          <w:color w:val="000000"/>
          <w:sz w:val="4"/>
        </w:rPr>
      </w:r>
    </w:p>
    <w:p>
      <w:pPr>
        <w:keepNext/>
        <w:spacing w:line="252" w:lineRule="auto" w:before="300" w:after="160"/>
      </w:pPr>
      <w:r>
        <w:rPr>
          <w:rFonts w:ascii="Times New Roman" w:hAnsi="Times New Roman" w:eastAsia="Times New Roman"/>
          <w:b/>
          <w:i w:val="0"/>
          <w:color w:val="000000"/>
          <w:sz w:val="40"/>
        </w:rPr>
        <w:t>8. A/B Testing</w:t>
      </w:r>
    </w:p>
    <w:p>
      <w:pPr>
        <w:spacing w:line="252" w:lineRule="auto" w:before="100" w:after="140"/>
      </w:pPr>
      <w:r>
        <w:rPr>
          <w:rFonts w:ascii="Times New Roman" w:hAnsi="Times New Roman" w:eastAsia="Times New Roman"/>
          <w:b w:val="0"/>
          <w:i w:val="0"/>
          <w:color w:val="000000"/>
          <w:sz w:val="24"/>
        </w:rPr>
        <w:t>This is a proposed A/B activity, not a completed comparison. Version A is the current marketplace listing view. Version B would make category and search controls more prominent and must be built before a run. Keep test data, task, device, and instructions the same for both versions.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20"/>
        <w:gridCol w:w="1584"/>
        <w:gridCol w:w="1872"/>
        <w:gridCol w:w="2952"/>
      </w:tblGrid>
      <w:tr>
        <w:trPr>
          <w:cantSplit/>
          <w:tblHeader w:val="true"/>
        </w:trPr>
        <w:tc>
          <w:tcPr>
            <w:tcW w:type="dxa" w:w="2520"/>
            <w:vAlign w:val="center"/>
            <w:tcMar>
              <w:top w:w="150" w:type="dxa"/>
              <w:start w:w="125" w:type="dxa"/>
              <w:bottom w:w="150" w:type="dxa"/>
              <w:end w:w="125" w:type="dxa"/>
            </w:tcMar>
            <w:shd w:fill="DCEAF3" w:val="clear"/>
          </w:tcPr>
          <w:p>
            <w:pPr>
              <w:spacing w:before="20" w:after="50" w:line="252" w:lineRule="auto"/>
            </w:pPr>
            <w:r>
              <w:rPr>
                <w:rFonts w:ascii="Times New Roman" w:hAnsi="Times New Roman" w:eastAsia="Times New Roman"/>
                <w:b/>
                <w:color w:val="000000"/>
                <w:sz w:val="19"/>
              </w:rPr>
              <w:t>Measure</w:t>
            </w:r>
          </w:p>
        </w:tc>
        <w:tc>
          <w:tcPr>
            <w:tcW w:type="dxa" w:w="1584"/>
            <w:vAlign w:val="center"/>
            <w:tcMar>
              <w:top w:w="150" w:type="dxa"/>
              <w:start w:w="125" w:type="dxa"/>
              <w:bottom w:w="150" w:type="dxa"/>
              <w:end w:w="125" w:type="dxa"/>
            </w:tcMar>
            <w:shd w:fill="DCEAF3" w:val="clear"/>
          </w:tcPr>
          <w:p>
            <w:pPr>
              <w:spacing w:before="20" w:after="50" w:line="252" w:lineRule="auto"/>
            </w:pPr>
            <w:r>
              <w:rPr>
                <w:rFonts w:ascii="Times New Roman" w:hAnsi="Times New Roman" w:eastAsia="Times New Roman"/>
                <w:b/>
                <w:color w:val="000000"/>
                <w:sz w:val="19"/>
              </w:rPr>
              <w:t>Version A</w:t>
            </w:r>
          </w:p>
        </w:tc>
        <w:tc>
          <w:tcPr>
            <w:tcW w:type="dxa" w:w="1872"/>
            <w:vAlign w:val="center"/>
            <w:tcMar>
              <w:top w:w="150" w:type="dxa"/>
              <w:start w:w="125" w:type="dxa"/>
              <w:bottom w:w="150" w:type="dxa"/>
              <w:end w:w="125" w:type="dxa"/>
            </w:tcMar>
            <w:shd w:fill="DCEAF3" w:val="clear"/>
          </w:tcPr>
          <w:p>
            <w:pPr>
              <w:spacing w:before="20" w:after="50" w:line="252" w:lineRule="auto"/>
            </w:pPr>
            <w:r>
              <w:rPr>
                <w:rFonts w:ascii="Times New Roman" w:hAnsi="Times New Roman" w:eastAsia="Times New Roman"/>
                <w:b/>
                <w:color w:val="000000"/>
                <w:sz w:val="19"/>
              </w:rPr>
              <w:t>Version B</w:t>
            </w:r>
          </w:p>
        </w:tc>
        <w:tc>
          <w:tcPr>
            <w:tcW w:type="dxa" w:w="2952"/>
            <w:vAlign w:val="center"/>
            <w:tcMar>
              <w:top w:w="150" w:type="dxa"/>
              <w:start w:w="125" w:type="dxa"/>
              <w:bottom w:w="150" w:type="dxa"/>
              <w:end w:w="125" w:type="dxa"/>
            </w:tcMar>
            <w:shd w:fill="DCEAF3" w:val="clear"/>
          </w:tcPr>
          <w:p>
            <w:pPr>
              <w:spacing w:before="20" w:after="50" w:line="252" w:lineRule="auto"/>
            </w:pPr>
            <w:r>
              <w:rPr>
                <w:rFonts w:ascii="Times New Roman" w:hAnsi="Times New Roman" w:eastAsia="Times New Roman"/>
                <w:b/>
                <w:color w:val="000000"/>
                <w:sz w:val="19"/>
              </w:rPr>
              <w:t>Notes</w:t>
            </w:r>
          </w:p>
        </w:tc>
      </w:tr>
      <w:tr>
        <w:trPr>
          <w:cantSplit/>
        </w:trPr>
        <w:tc>
          <w:tcPr>
            <w:tcW w:type="dxa" w:w="252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9"/>
              </w:rPr>
              <w:t>Find a target listing</w:t>
            </w:r>
          </w:p>
        </w:tc>
        <w:tc>
          <w:tcPr>
            <w:tcW w:type="dxa" w:w="1584"/>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9"/>
              </w:rPr>
              <w:t>Current marketplace view</w:t>
            </w:r>
          </w:p>
        </w:tc>
        <w:tc>
          <w:tcPr>
            <w:tcW w:type="dxa" w:w="187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9"/>
              </w:rPr>
              <w:t>Proposed clearer category/search view</w:t>
            </w:r>
          </w:p>
        </w:tc>
        <w:tc>
          <w:tcPr>
            <w:tcW w:type="dxa" w:w="295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9"/>
              </w:rPr>
              <w:t>Count completed tasks only after both versions are built and tested.</w:t>
            </w:r>
          </w:p>
        </w:tc>
      </w:tr>
      <w:tr>
        <w:trPr>
          <w:cantSplit/>
        </w:trPr>
        <w:tc>
          <w:tcPr>
            <w:tcW w:type="dxa" w:w="252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9"/>
              </w:rPr>
              <w:t>Time to open details</w:t>
            </w:r>
          </w:p>
        </w:tc>
        <w:tc>
          <w:tcPr>
            <w:tcW w:type="dxa" w:w="1584"/>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9"/>
              </w:rPr>
              <w:t>Measure during a run</w:t>
            </w:r>
          </w:p>
        </w:tc>
        <w:tc>
          <w:tcPr>
            <w:tcW w:type="dxa" w:w="187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9"/>
              </w:rPr>
              <w:t>Measure during a run</w:t>
            </w:r>
          </w:p>
        </w:tc>
        <w:tc>
          <w:tcPr>
            <w:tcW w:type="dxa" w:w="295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9"/>
              </w:rPr>
              <w:t>Record seconds from task start to the correct detail page.</w:t>
            </w:r>
          </w:p>
        </w:tc>
      </w:tr>
      <w:tr>
        <w:trPr>
          <w:cantSplit/>
        </w:trPr>
        <w:tc>
          <w:tcPr>
            <w:tcW w:type="dxa" w:w="252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9"/>
              </w:rPr>
              <w:t>Wrong turns</w:t>
            </w:r>
          </w:p>
        </w:tc>
        <w:tc>
          <w:tcPr>
            <w:tcW w:type="dxa" w:w="1584"/>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9"/>
              </w:rPr>
              <w:t>Count backtracks or wrong pages</w:t>
            </w:r>
          </w:p>
        </w:tc>
        <w:tc>
          <w:tcPr>
            <w:tcW w:type="dxa" w:w="187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9"/>
              </w:rPr>
              <w:t>Count backtracks or wrong pages</w:t>
            </w:r>
          </w:p>
        </w:tc>
        <w:tc>
          <w:tcPr>
            <w:tcW w:type="dxa" w:w="295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9"/>
              </w:rPr>
              <w:t>Use the same task and test data for each version.</w:t>
            </w:r>
          </w:p>
        </w:tc>
      </w:tr>
      <w:tr>
        <w:trPr>
          <w:cantSplit/>
        </w:trPr>
        <w:tc>
          <w:tcPr>
            <w:tcW w:type="dxa" w:w="252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9"/>
              </w:rPr>
              <w:t>Findability</w:t>
            </w:r>
          </w:p>
        </w:tc>
        <w:tc>
          <w:tcPr>
            <w:tcW w:type="dxa" w:w="1584"/>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9"/>
              </w:rPr>
              <w:t>Observe first control used</w:t>
            </w:r>
          </w:p>
        </w:tc>
        <w:tc>
          <w:tcPr>
            <w:tcW w:type="dxa" w:w="187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9"/>
              </w:rPr>
              <w:t>Observe first control used</w:t>
            </w:r>
          </w:p>
        </w:tc>
        <w:tc>
          <w:tcPr>
            <w:tcW w:type="dxa" w:w="295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9"/>
              </w:rPr>
              <w:t>Record hesitation and help requests; do not infer a winner from preference alone.</w:t>
            </w:r>
          </w:p>
        </w:tc>
      </w:tr>
      <w:tr>
        <w:trPr>
          <w:cantSplit/>
        </w:trPr>
        <w:tc>
          <w:tcPr>
            <w:tcW w:type="dxa" w:w="252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9"/>
              </w:rPr>
              <w:t>Preference and reason</w:t>
            </w:r>
          </w:p>
        </w:tc>
        <w:tc>
          <w:tcPr>
            <w:tcW w:type="dxa" w:w="1584"/>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9"/>
              </w:rPr>
              <w:t>Ask after the task</w:t>
            </w:r>
          </w:p>
        </w:tc>
        <w:tc>
          <w:tcPr>
            <w:tcW w:type="dxa" w:w="187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9"/>
              </w:rPr>
              <w:t>Ask after the task</w:t>
            </w:r>
          </w:p>
        </w:tc>
        <w:tc>
          <w:tcPr>
            <w:tcW w:type="dxa" w:w="295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9"/>
              </w:rPr>
              <w:t>Comparison status: Not run; Version B is only a proposal.</w:t>
            </w:r>
          </w:p>
        </w:tc>
      </w:tr>
    </w:tbl>
    <w:p>
      <w:pPr>
        <w:spacing w:after="160" w:before="60" w:line="240" w:lineRule="auto"/>
      </w:pPr>
      <w:r>
        <w:rPr>
          <w:rFonts w:ascii="Times New Roman" w:hAnsi="Times New Roman" w:eastAsia="Times New Roman"/>
          <w:b w:val="0"/>
          <w:i w:val="0"/>
          <w:color w:val="000000"/>
          <w:sz w:val="4"/>
        </w:rPr>
      </w:r>
    </w:p>
    <w:p>
      <w:pPr>
        <w:spacing w:line="252" w:lineRule="auto" w:before="100" w:after="140"/>
      </w:pPr>
      <w:r>
        <w:rPr>
          <w:rFonts w:ascii="Times New Roman" w:hAnsi="Times New Roman" w:eastAsia="Times New Roman"/>
          <w:b w:val="0"/>
          <w:i w:val="0"/>
          <w:color w:val="000000"/>
          <w:sz w:val="24"/>
        </w:rPr>
        <w:t>Do not choose a winner from preference alone. Review task completion, errors, and comments together. If one variant was not built or the sample is too small, mark the comparison Blocked or inconclusive rather than claiming a result.</w:t>
      </w:r>
    </w:p>
    <w:p>
      <w:pPr>
        <w:keepNext/>
        <w:spacing w:line="252" w:lineRule="auto" w:before="300" w:after="160"/>
      </w:pPr>
      <w:r>
        <w:rPr>
          <w:rFonts w:ascii="Times New Roman" w:hAnsi="Times New Roman" w:eastAsia="Times New Roman"/>
          <w:b/>
          <w:i w:val="0"/>
          <w:color w:val="000000"/>
          <w:sz w:val="40"/>
        </w:rPr>
        <w:t>9. Observation Record</w:t>
      </w:r>
    </w:p>
    <w:p>
      <w:pPr>
        <w:spacing w:line="252" w:lineRule="auto" w:before="100" w:after="140"/>
      </w:pPr>
      <w:r>
        <w:rPr>
          <w:rFonts w:ascii="Times New Roman" w:hAnsi="Times New Roman" w:eastAsia="Times New Roman"/>
          <w:b w:val="0"/>
          <w:i w:val="0"/>
          <w:color w:val="000000"/>
          <w:sz w:val="24"/>
        </w:rPr>
        <w:t>Use one row per run. Keep evidence concise: page or action, visible message/status, and the point where the task succeeded or failed. Do not include passwords or payment secrets.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152"/>
        <w:gridCol w:w="1512"/>
        <w:gridCol w:w="1080"/>
        <w:gridCol w:w="2592"/>
        <w:gridCol w:w="2592"/>
      </w:tblGrid>
      <w:tr>
        <w:trPr>
          <w:cantSplit/>
          <w:tblHeader w:val="true"/>
        </w:trPr>
        <w:tc>
          <w:tcPr>
            <w:tcW w:type="dxa" w:w="1152"/>
            <w:vAlign w:val="center"/>
            <w:tcMar>
              <w:top w:w="150" w:type="dxa"/>
              <w:start w:w="125" w:type="dxa"/>
              <w:bottom w:w="150" w:type="dxa"/>
              <w:end w:w="125" w:type="dxa"/>
            </w:tcMar>
            <w:shd w:fill="DCEAF3" w:val="clear"/>
          </w:tcPr>
          <w:p>
            <w:pPr>
              <w:spacing w:before="20" w:after="50" w:line="252" w:lineRule="auto"/>
            </w:pPr>
            <w:r>
              <w:rPr>
                <w:rFonts w:ascii="Times New Roman" w:hAnsi="Times New Roman" w:eastAsia="Times New Roman"/>
                <w:b/>
                <w:color w:val="000000"/>
                <w:sz w:val="18"/>
              </w:rPr>
              <w:t>Scenario / run</w:t>
            </w:r>
          </w:p>
        </w:tc>
        <w:tc>
          <w:tcPr>
            <w:tcW w:type="dxa" w:w="1512"/>
            <w:vAlign w:val="center"/>
            <w:tcMar>
              <w:top w:w="150" w:type="dxa"/>
              <w:start w:w="125" w:type="dxa"/>
              <w:bottom w:w="150" w:type="dxa"/>
              <w:end w:w="125" w:type="dxa"/>
            </w:tcMar>
            <w:shd w:fill="DCEAF3" w:val="clear"/>
          </w:tcPr>
          <w:p>
            <w:pPr>
              <w:spacing w:before="20" w:after="50" w:line="252" w:lineRule="auto"/>
            </w:pPr>
            <w:r>
              <w:rPr>
                <w:rFonts w:ascii="Times New Roman" w:hAnsi="Times New Roman" w:eastAsia="Times New Roman"/>
                <w:b/>
                <w:color w:val="000000"/>
                <w:sz w:val="18"/>
              </w:rPr>
              <w:t>Role and task</w:t>
            </w:r>
          </w:p>
        </w:tc>
        <w:tc>
          <w:tcPr>
            <w:tcW w:type="dxa" w:w="1080"/>
            <w:vAlign w:val="center"/>
            <w:tcMar>
              <w:top w:w="150" w:type="dxa"/>
              <w:start w:w="125" w:type="dxa"/>
              <w:bottom w:w="150" w:type="dxa"/>
              <w:end w:w="125" w:type="dxa"/>
            </w:tcMar>
            <w:shd w:fill="DCEAF3" w:val="clear"/>
          </w:tcPr>
          <w:p>
            <w:pPr>
              <w:spacing w:before="20" w:after="50" w:line="252" w:lineRule="auto"/>
            </w:pPr>
            <w:r>
              <w:rPr>
                <w:rFonts w:ascii="Times New Roman" w:hAnsi="Times New Roman" w:eastAsia="Times New Roman"/>
                <w:b/>
                <w:color w:val="000000"/>
                <w:sz w:val="18"/>
              </w:rPr>
              <w:t>Status</w:t>
            </w:r>
          </w:p>
        </w:tc>
        <w:tc>
          <w:tcPr>
            <w:tcW w:type="dxa" w:w="2592"/>
            <w:vAlign w:val="center"/>
            <w:tcMar>
              <w:top w:w="150" w:type="dxa"/>
              <w:start w:w="125" w:type="dxa"/>
              <w:bottom w:w="150" w:type="dxa"/>
              <w:end w:w="125" w:type="dxa"/>
            </w:tcMar>
            <w:shd w:fill="DCEAF3" w:val="clear"/>
          </w:tcPr>
          <w:p>
            <w:pPr>
              <w:spacing w:before="20" w:after="50" w:line="252" w:lineRule="auto"/>
            </w:pPr>
            <w:r>
              <w:rPr>
                <w:rFonts w:ascii="Times New Roman" w:hAnsi="Times New Roman" w:eastAsia="Times New Roman"/>
                <w:b/>
                <w:color w:val="000000"/>
                <w:sz w:val="18"/>
              </w:rPr>
              <w:t>Expected behavior (not observed)</w:t>
            </w:r>
          </w:p>
        </w:tc>
        <w:tc>
          <w:tcPr>
            <w:tcW w:type="dxa" w:w="2592"/>
            <w:vAlign w:val="center"/>
            <w:tcMar>
              <w:top w:w="150" w:type="dxa"/>
              <w:start w:w="125" w:type="dxa"/>
              <w:bottom w:w="150" w:type="dxa"/>
              <w:end w:w="125" w:type="dxa"/>
            </w:tcMar>
            <w:shd w:fill="DCEAF3" w:val="clear"/>
          </w:tcPr>
          <w:p>
            <w:pPr>
              <w:spacing w:before="20" w:after="50" w:line="252" w:lineRule="auto"/>
            </w:pPr>
            <w:r>
              <w:rPr>
                <w:rFonts w:ascii="Times New Roman" w:hAnsi="Times New Roman" w:eastAsia="Times New Roman"/>
                <w:b/>
                <w:color w:val="000000"/>
                <w:sz w:val="18"/>
              </w:rPr>
              <w:t>Evidence to collect</w:t>
            </w:r>
          </w:p>
        </w:tc>
      </w:tr>
      <w:tr>
        <w:trPr>
          <w:cantSplit/>
        </w:trPr>
        <w:tc>
          <w:tcPr>
            <w:tcW w:type="dxa" w:w="115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WV-01</w:t>
            </w:r>
          </w:p>
        </w:tc>
        <w:tc>
          <w:tcPr>
            <w:tcW w:type="dxa" w:w="151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Guest: open a protected action.</w:t>
            </w:r>
          </w:p>
        </w:tc>
        <w:tc>
          <w:tcPr>
            <w:tcW w:type="dxa" w:w="108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Not run</w:t>
            </w:r>
          </w:p>
        </w:tc>
        <w:tc>
          <w:tcPr>
            <w:tcW w:type="dxa" w:w="259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Login is required; protected content stays hidden.</w:t>
            </w:r>
          </w:p>
        </w:tc>
        <w:tc>
          <w:tcPr>
            <w:tcW w:type="dxa" w:w="259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URL and redirect/message; no credentials.</w:t>
            </w:r>
          </w:p>
        </w:tc>
      </w:tr>
      <w:tr>
        <w:trPr>
          <w:cantSplit/>
        </w:trPr>
        <w:tc>
          <w:tcPr>
            <w:tcW w:type="dxa" w:w="115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WV-02</w:t>
            </w:r>
          </w:p>
        </w:tc>
        <w:tc>
          <w:tcPr>
            <w:tcW w:type="dxa" w:w="151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Seller: create and find a valid listing.</w:t>
            </w:r>
          </w:p>
        </w:tc>
        <w:tc>
          <w:tcPr>
            <w:tcW w:type="dxa" w:w="108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Not run</w:t>
            </w:r>
          </w:p>
        </w:tc>
        <w:tc>
          <w:tcPr>
            <w:tcW w:type="dxa" w:w="259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Available listing appears with matching details.</w:t>
            </w:r>
          </w:p>
        </w:tc>
        <w:tc>
          <w:tcPr>
            <w:tcW w:type="dxa" w:w="259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Test listing ID, search term, and displayed status.</w:t>
            </w:r>
          </w:p>
        </w:tc>
      </w:tr>
      <w:tr>
        <w:trPr>
          <w:cantSplit/>
        </w:trPr>
        <w:tc>
          <w:tcPr>
            <w:tcW w:type="dxa" w:w="115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WV-03</w:t>
            </w:r>
          </w:p>
        </w:tc>
        <w:tc>
          <w:tcPr>
            <w:tcW w:type="dxa" w:w="151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Buyer/seller: submit offer and pickup.</w:t>
            </w:r>
          </w:p>
        </w:tc>
        <w:tc>
          <w:tcPr>
            <w:tcW w:type="dxa" w:w="108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Not run</w:t>
            </w:r>
          </w:p>
        </w:tc>
        <w:tc>
          <w:tcPr>
            <w:tcW w:type="dxa" w:w="259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Both records reference the intended listing and participants.</w:t>
            </w:r>
          </w:p>
        </w:tc>
        <w:tc>
          <w:tcPr>
            <w:tcW w:type="dxa" w:w="259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Test offer/pickup IDs and displayed statuses.</w:t>
            </w:r>
          </w:p>
        </w:tc>
      </w:tr>
      <w:tr>
        <w:trPr>
          <w:cantSplit/>
        </w:trPr>
        <w:tc>
          <w:tcPr>
            <w:tcW w:type="dxa" w:w="115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WV-04</w:t>
            </w:r>
          </w:p>
        </w:tc>
        <w:tc>
          <w:tcPr>
            <w:tcW w:type="dxa" w:w="151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User: ask recycling assistant; open DIY idea.</w:t>
            </w:r>
          </w:p>
        </w:tc>
        <w:tc>
          <w:tcPr>
            <w:tcW w:type="dxa" w:w="108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Not run</w:t>
            </w:r>
          </w:p>
        </w:tc>
        <w:tc>
          <w:tcPr>
            <w:tcW w:type="dxa" w:w="259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Supported prompt receives a response; valid idea pages load.</w:t>
            </w:r>
          </w:p>
        </w:tc>
        <w:tc>
          <w:tcPr>
            <w:tcW w:type="dxa" w:w="259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Prompt category and page path; omit personal data.</w:t>
            </w:r>
          </w:p>
        </w:tc>
      </w:tr>
      <w:tr>
        <w:trPr>
          <w:cantSplit/>
        </w:trPr>
        <w:tc>
          <w:tcPr>
            <w:tcW w:type="dxa" w:w="115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WV-05</w:t>
            </w:r>
          </w:p>
        </w:tc>
        <w:tc>
          <w:tcPr>
            <w:tcW w:type="dxa" w:w="151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Buyer: attempt own/unavailable product checkout.</w:t>
            </w:r>
          </w:p>
        </w:tc>
        <w:tc>
          <w:tcPr>
            <w:tcW w:type="dxa" w:w="108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Not run</w:t>
            </w:r>
          </w:p>
        </w:tc>
        <w:tc>
          <w:tcPr>
            <w:tcW w:type="dxa" w:w="259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Owner and unavailable-item restrictions prevent checkout.</w:t>
            </w:r>
          </w:p>
        </w:tc>
        <w:tc>
          <w:tcPr>
            <w:tcW w:type="dxa" w:w="259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Test product ID and visible block message.</w:t>
            </w:r>
          </w:p>
        </w:tc>
      </w:tr>
      <w:tr>
        <w:trPr>
          <w:cantSplit/>
        </w:trPr>
        <w:tc>
          <w:tcPr>
            <w:tcW w:type="dxa" w:w="115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WV-06</w:t>
            </w:r>
          </w:p>
        </w:tc>
        <w:tc>
          <w:tcPr>
            <w:tcW w:type="dxa" w:w="151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Buyer: validate address; try free/COD order.</w:t>
            </w:r>
          </w:p>
        </w:tc>
        <w:tc>
          <w:tcPr>
            <w:tcW w:type="dxa" w:w="108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Not run</w:t>
            </w:r>
          </w:p>
        </w:tc>
        <w:tc>
          <w:tcPr>
            <w:tcW w:type="dxa" w:w="259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Invalid details are rejected; free/COD labels and order status are clear.</w:t>
            </w:r>
          </w:p>
        </w:tc>
        <w:tc>
          <w:tcPr>
            <w:tcW w:type="dxa" w:w="259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Field error and test order status; never store address details.</w:t>
            </w:r>
          </w:p>
        </w:tc>
      </w:tr>
      <w:tr>
        <w:trPr>
          <w:cantSplit/>
        </w:trPr>
        <w:tc>
          <w:tcPr>
            <w:tcW w:type="dxa" w:w="115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WV-07</w:t>
            </w:r>
          </w:p>
        </w:tc>
        <w:tc>
          <w:tcPr>
            <w:tcW w:type="dxa" w:w="151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Admin: review or update a test listing.</w:t>
            </w:r>
          </w:p>
        </w:tc>
        <w:tc>
          <w:tcPr>
            <w:tcW w:type="dxa" w:w="108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Not run</w:t>
            </w:r>
          </w:p>
        </w:tc>
        <w:tc>
          <w:tcPr>
            <w:tcW w:type="dxa" w:w="259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Admin action changes the intended status and preserves the record.</w:t>
            </w:r>
          </w:p>
        </w:tc>
        <w:tc>
          <w:tcPr>
            <w:tcW w:type="dxa" w:w="259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Test listing ID, before/after status, and confirmation.</w:t>
            </w:r>
          </w:p>
        </w:tc>
      </w:tr>
    </w:tbl>
    <w:p>
      <w:pPr>
        <w:spacing w:after="160" w:before="60" w:line="240" w:lineRule="auto"/>
      </w:pPr>
      <w:r>
        <w:rPr>
          <w:rFonts w:ascii="Times New Roman" w:hAnsi="Times New Roman" w:eastAsia="Times New Roman"/>
          <w:b w:val="0"/>
          <w:i w:val="0"/>
          <w:color w:val="000000"/>
          <w:sz w:val="4"/>
        </w:rPr>
      </w:r>
    </w:p>
    <w:p>
      <w:pPr>
        <w:keepNext/>
        <w:spacing w:line="252" w:lineRule="auto" w:before="300" w:after="160"/>
      </w:pPr>
      <w:r>
        <w:rPr>
          <w:rFonts w:ascii="Times New Roman" w:hAnsi="Times New Roman" w:eastAsia="Times New Roman"/>
          <w:b/>
          <w:i w:val="0"/>
          <w:color w:val="000000"/>
          <w:sz w:val="40"/>
        </w:rPr>
        <w:t>10. Iterate and Retest</w:t>
      </w:r>
    </w:p>
    <w:p>
      <w:pPr>
        <w:spacing w:line="252" w:lineRule="auto" w:before="100" w:after="140"/>
      </w:pPr>
      <w:r>
        <w:rPr>
          <w:rFonts w:ascii="Times New Roman" w:hAnsi="Times New Roman" w:eastAsia="Times New Roman"/>
          <w:b w:val="0"/>
          <w:i w:val="0"/>
          <w:color w:val="000000"/>
          <w:sz w:val="24"/>
        </w:rPr>
        <w:t>Group related feedback, identify the user task affected, and prioritize issues by impact. Make a focused change, rerun the failed scenario, and check nearby flows for regressions. Keep the before and after evidence so the team can see whether the change helped.</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800"/>
        <w:gridCol w:w="2592"/>
        <w:gridCol w:w="2952"/>
        <w:gridCol w:w="1656"/>
      </w:tblGrid>
      <w:tr>
        <w:trPr>
          <w:cantSplit/>
          <w:tblHeader w:val="true"/>
        </w:trPr>
        <w:tc>
          <w:tcPr>
            <w:tcW w:type="dxa" w:w="1800"/>
            <w:vAlign w:val="center"/>
            <w:tcMar>
              <w:top w:w="150" w:type="dxa"/>
              <w:start w:w="125" w:type="dxa"/>
              <w:bottom w:w="150" w:type="dxa"/>
              <w:end w:w="125" w:type="dxa"/>
            </w:tcMar>
            <w:shd w:fill="DCEAF3" w:val="clear"/>
          </w:tcPr>
          <w:p>
            <w:pPr>
              <w:spacing w:before="20" w:after="50" w:line="252" w:lineRule="auto"/>
            </w:pPr>
            <w:r>
              <w:rPr>
                <w:rFonts w:ascii="Times New Roman" w:hAnsi="Times New Roman" w:eastAsia="Times New Roman"/>
                <w:b/>
                <w:color w:val="000000"/>
                <w:sz w:val="18"/>
              </w:rPr>
              <w:t>Potential issue to check</w:t>
            </w:r>
          </w:p>
        </w:tc>
        <w:tc>
          <w:tcPr>
            <w:tcW w:type="dxa" w:w="2592"/>
            <w:vAlign w:val="center"/>
            <w:tcMar>
              <w:top w:w="150" w:type="dxa"/>
              <w:start w:w="125" w:type="dxa"/>
              <w:bottom w:w="150" w:type="dxa"/>
              <w:end w:w="125" w:type="dxa"/>
            </w:tcMar>
            <w:shd w:fill="DCEAF3" w:val="clear"/>
          </w:tcPr>
          <w:p>
            <w:pPr>
              <w:spacing w:before="20" w:after="50" w:line="252" w:lineRule="auto"/>
            </w:pPr>
            <w:r>
              <w:rPr>
                <w:rFonts w:ascii="Times New Roman" w:hAnsi="Times New Roman" w:eastAsia="Times New Roman"/>
                <w:b/>
                <w:color w:val="000000"/>
                <w:sz w:val="18"/>
              </w:rPr>
              <w:t>When to prioritize</w:t>
            </w:r>
          </w:p>
        </w:tc>
        <w:tc>
          <w:tcPr>
            <w:tcW w:type="dxa" w:w="2952"/>
            <w:vAlign w:val="center"/>
            <w:tcMar>
              <w:top w:w="150" w:type="dxa"/>
              <w:start w:w="125" w:type="dxa"/>
              <w:bottom w:w="150" w:type="dxa"/>
              <w:end w:w="125" w:type="dxa"/>
            </w:tcMar>
            <w:shd w:fill="DCEAF3" w:val="clear"/>
          </w:tcPr>
          <w:p>
            <w:pPr>
              <w:spacing w:before="20" w:after="50" w:line="252" w:lineRule="auto"/>
            </w:pPr>
            <w:r>
              <w:rPr>
                <w:rFonts w:ascii="Times New Roman" w:hAnsi="Times New Roman" w:eastAsia="Times New Roman"/>
                <w:b/>
                <w:color w:val="000000"/>
                <w:sz w:val="18"/>
              </w:rPr>
              <w:t>Example improvement</w:t>
            </w:r>
          </w:p>
        </w:tc>
        <w:tc>
          <w:tcPr>
            <w:tcW w:type="dxa" w:w="1656"/>
            <w:vAlign w:val="center"/>
            <w:tcMar>
              <w:top w:w="150" w:type="dxa"/>
              <w:start w:w="125" w:type="dxa"/>
              <w:bottom w:w="150" w:type="dxa"/>
              <w:end w:w="125" w:type="dxa"/>
            </w:tcMar>
            <w:shd w:fill="DCEAF3" w:val="clear"/>
          </w:tcPr>
          <w:p>
            <w:pPr>
              <w:spacing w:before="20" w:after="50" w:line="252" w:lineRule="auto"/>
            </w:pPr>
            <w:r>
              <w:rPr>
                <w:rFonts w:ascii="Times New Roman" w:hAnsi="Times New Roman" w:eastAsia="Times New Roman"/>
                <w:b/>
                <w:color w:val="000000"/>
                <w:sz w:val="18"/>
              </w:rPr>
              <w:t>Retest check</w:t>
            </w:r>
          </w:p>
        </w:tc>
      </w:tr>
      <w:tr>
        <w:trPr>
          <w:cantSplit/>
        </w:trPr>
        <w:tc>
          <w:tcPr>
            <w:tcW w:type="dxa" w:w="180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Users mix up the two marketplace paths.</w:t>
            </w:r>
          </w:p>
        </w:tc>
        <w:tc>
          <w:tcPr>
            <w:tcW w:type="dxa" w:w="259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Only if observed more than once or it blocks a task.</w:t>
            </w:r>
          </w:p>
        </w:tc>
        <w:tc>
          <w:tcPr>
            <w:tcW w:type="dxa" w:w="295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Use distinct menu labels for recyclable materials and handmade products.</w:t>
            </w:r>
          </w:p>
        </w:tc>
        <w:tc>
          <w:tcPr>
            <w:tcW w:type="dxa" w:w="1656"/>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Ask a guest to find one item in each area.</w:t>
            </w:r>
          </w:p>
        </w:tc>
      </w:tr>
      <w:tr>
        <w:trPr>
          <w:cantSplit/>
        </w:trPr>
        <w:tc>
          <w:tcPr>
            <w:tcW w:type="dxa" w:w="180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Checkout validation is hard to understand.</w:t>
            </w:r>
          </w:p>
        </w:tc>
        <w:tc>
          <w:tcPr>
            <w:tcW w:type="dxa" w:w="259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Only if a tester cannot correct an invalid field without help.</w:t>
            </w:r>
          </w:p>
        </w:tc>
        <w:tc>
          <w:tcPr>
            <w:tcW w:type="dxa" w:w="295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Show a clear message beside the field that needs correction.</w:t>
            </w:r>
          </w:p>
        </w:tc>
        <w:tc>
          <w:tcPr>
            <w:tcW w:type="dxa" w:w="1656"/>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Submit invalid then valid test delivery details.</w:t>
            </w:r>
          </w:p>
        </w:tc>
      </w:tr>
      <w:tr>
        <w:trPr>
          <w:cantSplit/>
        </w:trPr>
        <w:tc>
          <w:tcPr>
            <w:tcW w:type="dxa" w:w="180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Payment and order progress are confused.</w:t>
            </w:r>
          </w:p>
        </w:tc>
        <w:tc>
          <w:tcPr>
            <w:tcW w:type="dxa" w:w="259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Only if testers mistake demo payment for a real charge or miss the status.</w:t>
            </w:r>
          </w:p>
        </w:tc>
        <w:tc>
          <w:tcPr>
            <w:tcW w:type="dxa" w:w="295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Display payment status separately from order/shipping status.</w:t>
            </w:r>
          </w:p>
        </w:tc>
        <w:tc>
          <w:tcPr>
            <w:tcW w:type="dxa" w:w="1656"/>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Review free, COD, demo, and sandbox paths with test data.</w:t>
            </w:r>
          </w:p>
        </w:tc>
      </w:tr>
      <w:tr>
        <w:trPr>
          <w:cantSplit/>
        </w:trPr>
        <w:tc>
          <w:tcPr>
            <w:tcW w:type="dxa" w:w="1800"/>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Admin listing actions are unclear.</w:t>
            </w:r>
          </w:p>
        </w:tc>
        <w:tc>
          <w:tcPr>
            <w:tcW w:type="dxa" w:w="259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Only if the admin cannot tell whether a listing is hidden or restored.</w:t>
            </w:r>
          </w:p>
        </w:tc>
        <w:tc>
          <w:tcPr>
            <w:tcW w:type="dxa" w:w="295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Show the current listing status and action confirmation.</w:t>
            </w:r>
          </w:p>
        </w:tc>
        <w:tc>
          <w:tcPr>
            <w:tcW w:type="dxa" w:w="1656"/>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18"/>
              </w:rPr>
              <w:t>Remove/archive/restore a dedicated test listing and verify status.</w:t>
            </w:r>
          </w:p>
        </w:tc>
      </w:tr>
    </w:tbl>
    <w:p>
      <w:pPr>
        <w:spacing w:after="160" w:before="60" w:line="240" w:lineRule="auto"/>
      </w:pPr>
      <w:r>
        <w:rPr>
          <w:rFonts w:ascii="Times New Roman" w:hAnsi="Times New Roman" w:eastAsia="Times New Roman"/>
          <w:b w:val="0"/>
          <w:i w:val="0"/>
          <w:color w:val="000000"/>
          <w:sz w:val="4"/>
        </w:rPr>
      </w:r>
    </w:p>
    <w:p>
      <w:pPr>
        <w:keepNext/>
        <w:spacing w:line="252" w:lineRule="auto" w:before="300" w:after="160"/>
      </w:pPr>
      <w:r>
        <w:rPr>
          <w:rFonts w:ascii="Times New Roman" w:hAnsi="Times New Roman" w:eastAsia="Times New Roman"/>
          <w:b/>
          <w:i w:val="0"/>
          <w:color w:val="000000"/>
          <w:sz w:val="40"/>
        </w:rPr>
        <w:t>11. Test Phase Output</w:t>
      </w:r>
    </w:p>
    <w:p>
      <w:pPr>
        <w:spacing w:line="252" w:lineRule="auto" w:before="100" w:after="140"/>
      </w:pPr>
      <w:r>
        <w:rPr>
          <w:rFonts w:ascii="Times New Roman" w:hAnsi="Times New Roman" w:eastAsia="Times New Roman"/>
          <w:b w:val="0"/>
          <w:i w:val="0"/>
          <w:color w:val="000000"/>
          <w:sz w:val="24"/>
        </w:rPr>
        <w:t>After a real session, replace the illustrative entries with observed feedback, actual scenario statuses, evidence, and retest notes. The current status is Not run; the examples below must not be reported as test findings.</w:t>
      </w:r>
    </w:p>
    <w:p>
      <w:pPr>
        <w:keepNext/>
        <w:spacing w:line="252" w:lineRule="auto" w:before="180" w:after="100"/>
      </w:pPr>
      <w:r>
        <w:rPr>
          <w:rFonts w:ascii="Times New Roman" w:hAnsi="Times New Roman" w:eastAsia="Times New Roman"/>
          <w:b/>
          <w:i w:val="0"/>
          <w:color w:val="000000"/>
          <w:sz w:val="30"/>
        </w:rPr>
        <w:t>Session summary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672"/>
        <w:gridCol w:w="5328"/>
      </w:tblGrid>
      <w:tr>
        <w:trPr>
          <w:cantSplit/>
          <w:tblHeader w:val="true"/>
        </w:trPr>
        <w:tc>
          <w:tcPr>
            <w:tcW w:type="dxa" w:w="3672"/>
            <w:vAlign w:val="center"/>
            <w:tcMar>
              <w:top w:w="150" w:type="dxa"/>
              <w:start w:w="125" w:type="dxa"/>
              <w:bottom w:w="150" w:type="dxa"/>
              <w:end w:w="125" w:type="dxa"/>
            </w:tcMar>
            <w:shd w:fill="DCEAF3" w:val="clear"/>
          </w:tcPr>
          <w:p>
            <w:pPr>
              <w:spacing w:before="20" w:after="50" w:line="252" w:lineRule="auto"/>
            </w:pPr>
            <w:r>
              <w:rPr>
                <w:rFonts w:ascii="Times New Roman" w:hAnsi="Times New Roman" w:eastAsia="Times New Roman"/>
                <w:b/>
                <w:color w:val="000000"/>
                <w:sz w:val="21"/>
              </w:rPr>
              <w:t>Summary field</w:t>
            </w:r>
          </w:p>
        </w:tc>
        <w:tc>
          <w:tcPr>
            <w:tcW w:type="dxa" w:w="5328"/>
            <w:vAlign w:val="center"/>
            <w:tcMar>
              <w:top w:w="150" w:type="dxa"/>
              <w:start w:w="125" w:type="dxa"/>
              <w:bottom w:w="150" w:type="dxa"/>
              <w:end w:w="125" w:type="dxa"/>
            </w:tcMar>
            <w:shd w:fill="DCEAF3" w:val="clear"/>
          </w:tcPr>
          <w:p>
            <w:pPr>
              <w:spacing w:before="20" w:after="50" w:line="252" w:lineRule="auto"/>
            </w:pPr>
            <w:r>
              <w:rPr>
                <w:rFonts w:ascii="Times New Roman" w:hAnsi="Times New Roman" w:eastAsia="Times New Roman"/>
                <w:b/>
                <w:color w:val="000000"/>
                <w:sz w:val="21"/>
              </w:rPr>
              <w:t>Current entry</w:t>
            </w:r>
          </w:p>
        </w:tc>
      </w:tr>
      <w:tr>
        <w:trPr>
          <w:cantSplit/>
        </w:trPr>
        <w:tc>
          <w:tcPr>
            <w:tcW w:type="dxa" w:w="367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21"/>
              </w:rPr>
              <w:t>Scenarios passed / failed / blocked / not run</w:t>
            </w:r>
          </w:p>
        </w:tc>
        <w:tc>
          <w:tcPr>
            <w:tcW w:type="dxa" w:w="5328"/>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21"/>
              </w:rPr>
              <w:t>0 run; all listed scenarios are currently Not run.</w:t>
            </w:r>
          </w:p>
        </w:tc>
      </w:tr>
      <w:tr>
        <w:trPr>
          <w:cantSplit/>
        </w:trPr>
        <w:tc>
          <w:tcPr>
            <w:tcW w:type="dxa" w:w="367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21"/>
              </w:rPr>
              <w:t>Highest-priority issue and affected task</w:t>
            </w:r>
          </w:p>
        </w:tc>
        <w:tc>
          <w:tcPr>
            <w:tcW w:type="dxa" w:w="5328"/>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21"/>
              </w:rPr>
              <w:t>No confirmed issue; no user-test evidence has been collected.</w:t>
            </w:r>
          </w:p>
        </w:tc>
      </w:tr>
      <w:tr>
        <w:trPr>
          <w:cantSplit/>
        </w:trPr>
        <w:tc>
          <w:tcPr>
            <w:tcW w:type="dxa" w:w="367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21"/>
              </w:rPr>
              <w:t>Changes made and retests completed</w:t>
            </w:r>
          </w:p>
        </w:tc>
        <w:tc>
          <w:tcPr>
            <w:tcW w:type="dxa" w:w="5328"/>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21"/>
              </w:rPr>
              <w:t>None recorded for a test session.</w:t>
            </w:r>
          </w:p>
        </w:tc>
      </w:tr>
      <w:tr>
        <w:trPr>
          <w:cantSplit/>
        </w:trPr>
        <w:tc>
          <w:tcPr>
            <w:tcW w:type="dxa" w:w="3672"/>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21"/>
              </w:rPr>
              <w:t>Remaining questions or follow-up</w:t>
            </w:r>
          </w:p>
        </w:tc>
        <w:tc>
          <w:tcPr>
            <w:tcW w:type="dxa" w:w="5328"/>
            <w:vAlign w:val="center"/>
            <w:tcMar>
              <w:top w:w="150" w:type="dxa"/>
              <w:start w:w="125" w:type="dxa"/>
              <w:bottom w:w="150" w:type="dxa"/>
              <w:end w:w="125" w:type="dxa"/>
            </w:tcMar>
          </w:tcPr>
          <w:p>
            <w:pPr>
              <w:spacing w:before="20" w:after="50" w:line="252" w:lineRule="auto"/>
            </w:pPr>
            <w:r>
              <w:rPr>
                <w:rFonts w:ascii="Times New Roman" w:hAnsi="Times New Roman" w:eastAsia="Times New Roman"/>
                <w:b w:val="0"/>
                <w:color w:val="000000"/>
                <w:sz w:val="21"/>
              </w:rPr>
              <w:t>Run the scenarios with isolated test data and replace examples with observed evidence.</w:t>
            </w:r>
          </w:p>
        </w:tc>
      </w:tr>
    </w:tbl>
    <w:p>
      <w:pPr>
        <w:spacing w:after="160" w:before="60" w:line="240" w:lineRule="auto"/>
      </w:pPr>
      <w:r>
        <w:rPr>
          <w:rFonts w:ascii="Times New Roman" w:hAnsi="Times New Roman" w:eastAsia="Times New Roman"/>
          <w:b w:val="0"/>
          <w:i w:val="0"/>
          <w:color w:val="000000"/>
          <w:sz w:val="4"/>
        </w:rPr>
      </w:r>
    </w:p>
    <w:p>
      <w:pPr>
        <w:spacing w:line="252" w:lineRule="auto" w:before="160" w:after="100"/>
      </w:pPr>
      <w:r>
        <w:rPr>
          <w:rFonts w:ascii="Times New Roman" w:hAnsi="Times New Roman" w:eastAsia="Times New Roman"/>
          <w:b w:val="0"/>
          <w:i/>
          <w:color w:val="000000"/>
          <w:sz w:val="21"/>
        </w:rPr>
        <w:t>Example content is illustrative only. Record actual user feedback and test results after a Waste2Value test session.</w:t>
      </w:r>
    </w:p>
    <w:sectPr w:rsidR="00DB6064" w:rsidSect="001B35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E02B8"/>
    <w:multiLevelType w:val="multilevel"/>
    <w:tmpl w:val="DD90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5609C"/>
    <w:multiLevelType w:val="multilevel"/>
    <w:tmpl w:val="2556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74E0D"/>
    <w:multiLevelType w:val="multilevel"/>
    <w:tmpl w:val="09E4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4545C"/>
    <w:multiLevelType w:val="multilevel"/>
    <w:tmpl w:val="2AE0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00633"/>
    <w:multiLevelType w:val="multilevel"/>
    <w:tmpl w:val="2B42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A1BB0"/>
    <w:multiLevelType w:val="multilevel"/>
    <w:tmpl w:val="DB68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31949"/>
    <w:multiLevelType w:val="multilevel"/>
    <w:tmpl w:val="7042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1332C"/>
    <w:multiLevelType w:val="multilevel"/>
    <w:tmpl w:val="ABB0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2055A6"/>
    <w:multiLevelType w:val="multilevel"/>
    <w:tmpl w:val="357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B450F"/>
    <w:multiLevelType w:val="multilevel"/>
    <w:tmpl w:val="42B4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F4665"/>
    <w:multiLevelType w:val="multilevel"/>
    <w:tmpl w:val="96FE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A36A54"/>
    <w:multiLevelType w:val="multilevel"/>
    <w:tmpl w:val="C6066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183E8D"/>
    <w:multiLevelType w:val="multilevel"/>
    <w:tmpl w:val="BDB0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7D7031"/>
    <w:multiLevelType w:val="multilevel"/>
    <w:tmpl w:val="A08C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816B9C"/>
    <w:multiLevelType w:val="multilevel"/>
    <w:tmpl w:val="2F70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6B79E0"/>
    <w:multiLevelType w:val="multilevel"/>
    <w:tmpl w:val="C2F0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E77E0C"/>
    <w:multiLevelType w:val="multilevel"/>
    <w:tmpl w:val="ECECC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534054"/>
    <w:multiLevelType w:val="multilevel"/>
    <w:tmpl w:val="2436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B71F1D"/>
    <w:multiLevelType w:val="multilevel"/>
    <w:tmpl w:val="C872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F80F60"/>
    <w:multiLevelType w:val="multilevel"/>
    <w:tmpl w:val="1F74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0C125B"/>
    <w:multiLevelType w:val="multilevel"/>
    <w:tmpl w:val="D84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782032"/>
    <w:multiLevelType w:val="multilevel"/>
    <w:tmpl w:val="C5E2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B178DD"/>
    <w:multiLevelType w:val="multilevel"/>
    <w:tmpl w:val="F0C4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7A5F92"/>
    <w:multiLevelType w:val="multilevel"/>
    <w:tmpl w:val="3FD8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507E9E"/>
    <w:multiLevelType w:val="multilevel"/>
    <w:tmpl w:val="9340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C202D4"/>
    <w:multiLevelType w:val="multilevel"/>
    <w:tmpl w:val="54E6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4530AD"/>
    <w:multiLevelType w:val="multilevel"/>
    <w:tmpl w:val="0FA6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F7440E"/>
    <w:multiLevelType w:val="multilevel"/>
    <w:tmpl w:val="422E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0B3FC9"/>
    <w:multiLevelType w:val="multilevel"/>
    <w:tmpl w:val="93BE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EC65A0"/>
    <w:multiLevelType w:val="multilevel"/>
    <w:tmpl w:val="DB8C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08725F"/>
    <w:multiLevelType w:val="multilevel"/>
    <w:tmpl w:val="F27A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D410E1"/>
    <w:multiLevelType w:val="multilevel"/>
    <w:tmpl w:val="538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F2569D"/>
    <w:multiLevelType w:val="multilevel"/>
    <w:tmpl w:val="32C07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6B0ED2"/>
    <w:multiLevelType w:val="multilevel"/>
    <w:tmpl w:val="9C70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2"/>
  </w:num>
  <w:num w:numId="3">
    <w:abstractNumId w:val="16"/>
  </w:num>
  <w:num w:numId="4">
    <w:abstractNumId w:val="19"/>
  </w:num>
  <w:num w:numId="5">
    <w:abstractNumId w:val="31"/>
  </w:num>
  <w:num w:numId="6">
    <w:abstractNumId w:val="14"/>
  </w:num>
  <w:num w:numId="7">
    <w:abstractNumId w:val="25"/>
  </w:num>
  <w:num w:numId="8">
    <w:abstractNumId w:val="0"/>
  </w:num>
  <w:num w:numId="9">
    <w:abstractNumId w:val="29"/>
  </w:num>
  <w:num w:numId="10">
    <w:abstractNumId w:val="27"/>
  </w:num>
  <w:num w:numId="11">
    <w:abstractNumId w:val="23"/>
  </w:num>
  <w:num w:numId="12">
    <w:abstractNumId w:val="18"/>
  </w:num>
  <w:num w:numId="13">
    <w:abstractNumId w:val="33"/>
  </w:num>
  <w:num w:numId="14">
    <w:abstractNumId w:val="1"/>
  </w:num>
  <w:num w:numId="15">
    <w:abstractNumId w:val="4"/>
  </w:num>
  <w:num w:numId="16">
    <w:abstractNumId w:val="26"/>
  </w:num>
  <w:num w:numId="17">
    <w:abstractNumId w:val="24"/>
  </w:num>
  <w:num w:numId="18">
    <w:abstractNumId w:val="3"/>
  </w:num>
  <w:num w:numId="19">
    <w:abstractNumId w:val="10"/>
  </w:num>
  <w:num w:numId="20">
    <w:abstractNumId w:val="13"/>
  </w:num>
  <w:num w:numId="21">
    <w:abstractNumId w:val="6"/>
  </w:num>
  <w:num w:numId="22">
    <w:abstractNumId w:val="11"/>
  </w:num>
  <w:num w:numId="23">
    <w:abstractNumId w:val="12"/>
  </w:num>
  <w:num w:numId="24">
    <w:abstractNumId w:val="7"/>
  </w:num>
  <w:num w:numId="25">
    <w:abstractNumId w:val="5"/>
  </w:num>
  <w:num w:numId="26">
    <w:abstractNumId w:val="30"/>
  </w:num>
  <w:num w:numId="27">
    <w:abstractNumId w:val="20"/>
  </w:num>
  <w:num w:numId="28">
    <w:abstractNumId w:val="15"/>
  </w:num>
  <w:num w:numId="29">
    <w:abstractNumId w:val="28"/>
  </w:num>
  <w:num w:numId="30">
    <w:abstractNumId w:val="21"/>
  </w:num>
  <w:num w:numId="31">
    <w:abstractNumId w:val="17"/>
  </w:num>
  <w:num w:numId="32">
    <w:abstractNumId w:val="22"/>
  </w:num>
  <w:num w:numId="33">
    <w:abstractNumId w:val="8"/>
  </w:num>
  <w:num w:numId="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4DF"/>
    <w:rsid w:val="001B3564"/>
    <w:rsid w:val="001C222A"/>
    <w:rsid w:val="00723A7E"/>
    <w:rsid w:val="007C32BE"/>
    <w:rsid w:val="00897766"/>
    <w:rsid w:val="00CA6047"/>
    <w:rsid w:val="00DB6064"/>
    <w:rsid w:val="00F844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44525"/>
  <w15:chartTrackingRefBased/>
  <w15:docId w15:val="{00835761-A7C1-4B63-B65D-FA6701955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9776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9776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9776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76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9776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97766"/>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89776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97766"/>
    <w:rPr>
      <w:b/>
      <w:bCs/>
    </w:rPr>
  </w:style>
  <w:style w:type="paragraph" w:styleId="HTMLPreformatted">
    <w:name w:val="HTML Preformatted"/>
    <w:basedOn w:val="Normal"/>
    <w:link w:val="HTMLPreformattedChar"/>
    <w:uiPriority w:val="99"/>
    <w:semiHidden/>
    <w:unhideWhenUsed/>
    <w:rsid w:val="008977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9776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97766"/>
    <w:rPr>
      <w:rFonts w:ascii="Courier New" w:eastAsia="Times New Roman" w:hAnsi="Courier New" w:cs="Courier New"/>
      <w:sz w:val="20"/>
      <w:szCs w:val="20"/>
    </w:rPr>
  </w:style>
  <w:style w:type="character" w:customStyle="1" w:styleId="text-token-text-primary">
    <w:name w:val="text-token-text-primary"/>
    <w:basedOn w:val="DefaultParagraphFont"/>
    <w:rsid w:val="00897766"/>
  </w:style>
  <w:style w:type="paragraph" w:styleId="NormalWeb">
    <w:name w:val="Normal (Web)"/>
    <w:basedOn w:val="Normal"/>
    <w:uiPriority w:val="99"/>
    <w:semiHidden/>
    <w:unhideWhenUsed/>
    <w:rsid w:val="0089776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0486975">
      <w:bodyDiv w:val="1"/>
      <w:marLeft w:val="0"/>
      <w:marRight w:val="0"/>
      <w:marTop w:val="0"/>
      <w:marBottom w:val="0"/>
      <w:divBdr>
        <w:top w:val="none" w:sz="0" w:space="0" w:color="auto"/>
        <w:left w:val="none" w:sz="0" w:space="0" w:color="auto"/>
        <w:bottom w:val="none" w:sz="0" w:space="0" w:color="auto"/>
        <w:right w:val="none" w:sz="0" w:space="0" w:color="auto"/>
      </w:divBdr>
      <w:divsChild>
        <w:div w:id="900797649">
          <w:blockQuote w:val="1"/>
          <w:marLeft w:val="720"/>
          <w:marRight w:val="720"/>
          <w:marTop w:val="100"/>
          <w:marBottom w:val="100"/>
          <w:divBdr>
            <w:top w:val="none" w:sz="0" w:space="0" w:color="auto"/>
            <w:left w:val="none" w:sz="0" w:space="0" w:color="auto"/>
            <w:bottom w:val="none" w:sz="0" w:space="0" w:color="auto"/>
            <w:right w:val="none" w:sz="0" w:space="0" w:color="auto"/>
          </w:divBdr>
        </w:div>
        <w:div w:id="521867648">
          <w:marLeft w:val="0"/>
          <w:marRight w:val="0"/>
          <w:marTop w:val="0"/>
          <w:marBottom w:val="0"/>
          <w:divBdr>
            <w:top w:val="none" w:sz="0" w:space="0" w:color="auto"/>
            <w:left w:val="none" w:sz="0" w:space="0" w:color="auto"/>
            <w:bottom w:val="none" w:sz="0" w:space="0" w:color="auto"/>
            <w:right w:val="none" w:sz="0" w:space="0" w:color="auto"/>
          </w:divBdr>
        </w:div>
        <w:div w:id="1752699462">
          <w:blockQuote w:val="1"/>
          <w:marLeft w:val="720"/>
          <w:marRight w:val="720"/>
          <w:marTop w:val="100"/>
          <w:marBottom w:val="100"/>
          <w:divBdr>
            <w:top w:val="none" w:sz="0" w:space="0" w:color="auto"/>
            <w:left w:val="none" w:sz="0" w:space="0" w:color="auto"/>
            <w:bottom w:val="none" w:sz="0" w:space="0" w:color="auto"/>
            <w:right w:val="none" w:sz="0" w:space="0" w:color="auto"/>
          </w:divBdr>
        </w:div>
        <w:div w:id="339166293">
          <w:marLeft w:val="0"/>
          <w:marRight w:val="0"/>
          <w:marTop w:val="0"/>
          <w:marBottom w:val="0"/>
          <w:divBdr>
            <w:top w:val="none" w:sz="0" w:space="0" w:color="auto"/>
            <w:left w:val="none" w:sz="0" w:space="0" w:color="auto"/>
            <w:bottom w:val="none" w:sz="0" w:space="0" w:color="auto"/>
            <w:right w:val="none" w:sz="0" w:space="0" w:color="auto"/>
          </w:divBdr>
        </w:div>
        <w:div w:id="235282935">
          <w:blockQuote w:val="1"/>
          <w:marLeft w:val="720"/>
          <w:marRight w:val="720"/>
          <w:marTop w:val="100"/>
          <w:marBottom w:val="100"/>
          <w:divBdr>
            <w:top w:val="none" w:sz="0" w:space="0" w:color="auto"/>
            <w:left w:val="none" w:sz="0" w:space="0" w:color="auto"/>
            <w:bottom w:val="none" w:sz="0" w:space="0" w:color="auto"/>
            <w:right w:val="none" w:sz="0" w:space="0" w:color="auto"/>
          </w:divBdr>
        </w:div>
        <w:div w:id="222453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81107011">
          <w:marLeft w:val="0"/>
          <w:marRight w:val="0"/>
          <w:marTop w:val="0"/>
          <w:marBottom w:val="0"/>
          <w:divBdr>
            <w:top w:val="none" w:sz="0" w:space="0" w:color="auto"/>
            <w:left w:val="none" w:sz="0" w:space="0" w:color="auto"/>
            <w:bottom w:val="none" w:sz="0" w:space="0" w:color="auto"/>
            <w:right w:val="none" w:sz="0" w:space="0" w:color="auto"/>
          </w:divBdr>
        </w:div>
        <w:div w:id="1091271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123245">
          <w:marLeft w:val="0"/>
          <w:marRight w:val="0"/>
          <w:marTop w:val="0"/>
          <w:marBottom w:val="0"/>
          <w:divBdr>
            <w:top w:val="none" w:sz="0" w:space="0" w:color="auto"/>
            <w:left w:val="none" w:sz="0" w:space="0" w:color="auto"/>
            <w:bottom w:val="none" w:sz="0" w:space="0" w:color="auto"/>
            <w:right w:val="none" w:sz="0" w:space="0" w:color="auto"/>
          </w:divBdr>
        </w:div>
        <w:div w:id="553542077">
          <w:marLeft w:val="0"/>
          <w:marRight w:val="0"/>
          <w:marTop w:val="0"/>
          <w:marBottom w:val="0"/>
          <w:divBdr>
            <w:top w:val="none" w:sz="0" w:space="0" w:color="auto"/>
            <w:left w:val="none" w:sz="0" w:space="0" w:color="auto"/>
            <w:bottom w:val="none" w:sz="0" w:space="0" w:color="auto"/>
            <w:right w:val="none" w:sz="0" w:space="0" w:color="auto"/>
          </w:divBdr>
        </w:div>
        <w:div w:id="277220420">
          <w:marLeft w:val="0"/>
          <w:marRight w:val="0"/>
          <w:marTop w:val="0"/>
          <w:marBottom w:val="0"/>
          <w:divBdr>
            <w:top w:val="none" w:sz="0" w:space="0" w:color="auto"/>
            <w:left w:val="none" w:sz="0" w:space="0" w:color="auto"/>
            <w:bottom w:val="none" w:sz="0" w:space="0" w:color="auto"/>
            <w:right w:val="none" w:sz="0" w:space="0" w:color="auto"/>
          </w:divBdr>
        </w:div>
        <w:div w:id="707686714">
          <w:marLeft w:val="0"/>
          <w:marRight w:val="0"/>
          <w:marTop w:val="0"/>
          <w:marBottom w:val="0"/>
          <w:divBdr>
            <w:top w:val="none" w:sz="0" w:space="0" w:color="auto"/>
            <w:left w:val="none" w:sz="0" w:space="0" w:color="auto"/>
            <w:bottom w:val="none" w:sz="0" w:space="0" w:color="auto"/>
            <w:right w:val="none" w:sz="0" w:space="0" w:color="auto"/>
          </w:divBdr>
        </w:div>
        <w:div w:id="14653492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5853619">
          <w:marLeft w:val="0"/>
          <w:marRight w:val="0"/>
          <w:marTop w:val="0"/>
          <w:marBottom w:val="0"/>
          <w:divBdr>
            <w:top w:val="none" w:sz="0" w:space="0" w:color="auto"/>
            <w:left w:val="none" w:sz="0" w:space="0" w:color="auto"/>
            <w:bottom w:val="none" w:sz="0" w:space="0" w:color="auto"/>
            <w:right w:val="none" w:sz="0" w:space="0" w:color="auto"/>
          </w:divBdr>
        </w:div>
        <w:div w:id="11135489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769874">
          <w:blockQuote w:val="1"/>
          <w:marLeft w:val="720"/>
          <w:marRight w:val="720"/>
          <w:marTop w:val="100"/>
          <w:marBottom w:val="100"/>
          <w:divBdr>
            <w:top w:val="none" w:sz="0" w:space="0" w:color="auto"/>
            <w:left w:val="none" w:sz="0" w:space="0" w:color="auto"/>
            <w:bottom w:val="none" w:sz="0" w:space="0" w:color="auto"/>
            <w:right w:val="none" w:sz="0" w:space="0" w:color="auto"/>
          </w:divBdr>
        </w:div>
        <w:div w:id="622155484">
          <w:marLeft w:val="0"/>
          <w:marRight w:val="0"/>
          <w:marTop w:val="0"/>
          <w:marBottom w:val="0"/>
          <w:divBdr>
            <w:top w:val="none" w:sz="0" w:space="0" w:color="auto"/>
            <w:left w:val="none" w:sz="0" w:space="0" w:color="auto"/>
            <w:bottom w:val="none" w:sz="0" w:space="0" w:color="auto"/>
            <w:right w:val="none" w:sz="0" w:space="0" w:color="auto"/>
          </w:divBdr>
        </w:div>
        <w:div w:id="2055502878">
          <w:marLeft w:val="0"/>
          <w:marRight w:val="0"/>
          <w:marTop w:val="0"/>
          <w:marBottom w:val="0"/>
          <w:divBdr>
            <w:top w:val="none" w:sz="0" w:space="0" w:color="auto"/>
            <w:left w:val="none" w:sz="0" w:space="0" w:color="auto"/>
            <w:bottom w:val="none" w:sz="0" w:space="0" w:color="auto"/>
            <w:right w:val="none" w:sz="0" w:space="0" w:color="auto"/>
          </w:divBdr>
        </w:div>
        <w:div w:id="1200321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55610551">
          <w:marLeft w:val="0"/>
          <w:marRight w:val="0"/>
          <w:marTop w:val="0"/>
          <w:marBottom w:val="0"/>
          <w:divBdr>
            <w:top w:val="none" w:sz="0" w:space="0" w:color="auto"/>
            <w:left w:val="none" w:sz="0" w:space="0" w:color="auto"/>
            <w:bottom w:val="none" w:sz="0" w:space="0" w:color="auto"/>
            <w:right w:val="none" w:sz="0" w:space="0" w:color="auto"/>
          </w:divBdr>
        </w:div>
        <w:div w:id="1975718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057775">
          <w:marLeft w:val="0"/>
          <w:marRight w:val="0"/>
          <w:marTop w:val="0"/>
          <w:marBottom w:val="0"/>
          <w:divBdr>
            <w:top w:val="none" w:sz="0" w:space="0" w:color="auto"/>
            <w:left w:val="none" w:sz="0" w:space="0" w:color="auto"/>
            <w:bottom w:val="none" w:sz="0" w:space="0" w:color="auto"/>
            <w:right w:val="none" w:sz="0" w:space="0" w:color="auto"/>
          </w:divBdr>
        </w:div>
        <w:div w:id="7695135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756338">
          <w:marLeft w:val="0"/>
          <w:marRight w:val="0"/>
          <w:marTop w:val="0"/>
          <w:marBottom w:val="0"/>
          <w:divBdr>
            <w:top w:val="none" w:sz="0" w:space="0" w:color="auto"/>
            <w:left w:val="none" w:sz="0" w:space="0" w:color="auto"/>
            <w:bottom w:val="none" w:sz="0" w:space="0" w:color="auto"/>
            <w:right w:val="none" w:sz="0" w:space="0" w:color="auto"/>
          </w:divBdr>
        </w:div>
        <w:div w:id="191754598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541428">
          <w:marLeft w:val="0"/>
          <w:marRight w:val="0"/>
          <w:marTop w:val="0"/>
          <w:marBottom w:val="0"/>
          <w:divBdr>
            <w:top w:val="none" w:sz="0" w:space="0" w:color="auto"/>
            <w:left w:val="none" w:sz="0" w:space="0" w:color="auto"/>
            <w:bottom w:val="none" w:sz="0" w:space="0" w:color="auto"/>
            <w:right w:val="none" w:sz="0" w:space="0" w:color="auto"/>
          </w:divBdr>
        </w:div>
        <w:div w:id="327950983">
          <w:marLeft w:val="0"/>
          <w:marRight w:val="0"/>
          <w:marTop w:val="0"/>
          <w:marBottom w:val="0"/>
          <w:divBdr>
            <w:top w:val="none" w:sz="0" w:space="0" w:color="auto"/>
            <w:left w:val="none" w:sz="0" w:space="0" w:color="auto"/>
            <w:bottom w:val="none" w:sz="0" w:space="0" w:color="auto"/>
            <w:right w:val="none" w:sz="0" w:space="0" w:color="auto"/>
          </w:divBdr>
        </w:div>
        <w:div w:id="840655268">
          <w:marLeft w:val="0"/>
          <w:marRight w:val="0"/>
          <w:marTop w:val="0"/>
          <w:marBottom w:val="0"/>
          <w:divBdr>
            <w:top w:val="none" w:sz="0" w:space="0" w:color="auto"/>
            <w:left w:val="none" w:sz="0" w:space="0" w:color="auto"/>
            <w:bottom w:val="none" w:sz="0" w:space="0" w:color="auto"/>
            <w:right w:val="none" w:sz="0" w:space="0" w:color="auto"/>
          </w:divBdr>
        </w:div>
        <w:div w:id="328949706">
          <w:marLeft w:val="0"/>
          <w:marRight w:val="0"/>
          <w:marTop w:val="0"/>
          <w:marBottom w:val="0"/>
          <w:divBdr>
            <w:top w:val="none" w:sz="0" w:space="0" w:color="auto"/>
            <w:left w:val="none" w:sz="0" w:space="0" w:color="auto"/>
            <w:bottom w:val="none" w:sz="0" w:space="0" w:color="auto"/>
            <w:right w:val="none" w:sz="0" w:space="0" w:color="auto"/>
          </w:divBdr>
        </w:div>
        <w:div w:id="2009017334">
          <w:blockQuote w:val="1"/>
          <w:marLeft w:val="720"/>
          <w:marRight w:val="720"/>
          <w:marTop w:val="100"/>
          <w:marBottom w:val="100"/>
          <w:divBdr>
            <w:top w:val="none" w:sz="0" w:space="0" w:color="auto"/>
            <w:left w:val="none" w:sz="0" w:space="0" w:color="auto"/>
            <w:bottom w:val="none" w:sz="0" w:space="0" w:color="auto"/>
            <w:right w:val="none" w:sz="0" w:space="0" w:color="auto"/>
          </w:divBdr>
        </w:div>
        <w:div w:id="463154500">
          <w:marLeft w:val="0"/>
          <w:marRight w:val="0"/>
          <w:marTop w:val="0"/>
          <w:marBottom w:val="0"/>
          <w:divBdr>
            <w:top w:val="none" w:sz="0" w:space="0" w:color="auto"/>
            <w:left w:val="none" w:sz="0" w:space="0" w:color="auto"/>
            <w:bottom w:val="none" w:sz="0" w:space="0" w:color="auto"/>
            <w:right w:val="none" w:sz="0" w:space="0" w:color="auto"/>
          </w:divBdr>
        </w:div>
      </w:divsChild>
    </w:div>
    <w:div w:id="2017461174">
      <w:bodyDiv w:val="1"/>
      <w:marLeft w:val="0"/>
      <w:marRight w:val="0"/>
      <w:marTop w:val="0"/>
      <w:marBottom w:val="0"/>
      <w:divBdr>
        <w:top w:val="none" w:sz="0" w:space="0" w:color="auto"/>
        <w:left w:val="none" w:sz="0" w:space="0" w:color="auto"/>
        <w:bottom w:val="none" w:sz="0" w:space="0" w:color="auto"/>
        <w:right w:val="none" w:sz="0" w:space="0" w:color="auto"/>
      </w:divBdr>
      <w:divsChild>
        <w:div w:id="177894159">
          <w:marLeft w:val="0"/>
          <w:marRight w:val="0"/>
          <w:marTop w:val="0"/>
          <w:marBottom w:val="0"/>
          <w:divBdr>
            <w:top w:val="none" w:sz="0" w:space="0" w:color="auto"/>
            <w:left w:val="none" w:sz="0" w:space="0" w:color="auto"/>
            <w:bottom w:val="none" w:sz="0" w:space="0" w:color="auto"/>
            <w:right w:val="none" w:sz="0" w:space="0" w:color="auto"/>
          </w:divBdr>
        </w:div>
        <w:div w:id="1150368552">
          <w:marLeft w:val="0"/>
          <w:marRight w:val="0"/>
          <w:marTop w:val="0"/>
          <w:marBottom w:val="0"/>
          <w:divBdr>
            <w:top w:val="none" w:sz="0" w:space="0" w:color="auto"/>
            <w:left w:val="none" w:sz="0" w:space="0" w:color="auto"/>
            <w:bottom w:val="none" w:sz="0" w:space="0" w:color="auto"/>
            <w:right w:val="none" w:sz="0" w:space="0" w:color="auto"/>
          </w:divBdr>
        </w:div>
        <w:div w:id="1471629209">
          <w:marLeft w:val="0"/>
          <w:marRight w:val="0"/>
          <w:marTop w:val="0"/>
          <w:marBottom w:val="0"/>
          <w:divBdr>
            <w:top w:val="none" w:sz="0" w:space="0" w:color="auto"/>
            <w:left w:val="none" w:sz="0" w:space="0" w:color="auto"/>
            <w:bottom w:val="none" w:sz="0" w:space="0" w:color="auto"/>
            <w:right w:val="none" w:sz="0" w:space="0" w:color="auto"/>
          </w:divBdr>
        </w:div>
        <w:div w:id="777142262">
          <w:marLeft w:val="0"/>
          <w:marRight w:val="0"/>
          <w:marTop w:val="0"/>
          <w:marBottom w:val="0"/>
          <w:divBdr>
            <w:top w:val="none" w:sz="0" w:space="0" w:color="auto"/>
            <w:left w:val="none" w:sz="0" w:space="0" w:color="auto"/>
            <w:bottom w:val="none" w:sz="0" w:space="0" w:color="auto"/>
            <w:right w:val="none" w:sz="0" w:space="0" w:color="auto"/>
          </w:divBdr>
        </w:div>
        <w:div w:id="71242947">
          <w:marLeft w:val="0"/>
          <w:marRight w:val="0"/>
          <w:marTop w:val="0"/>
          <w:marBottom w:val="0"/>
          <w:divBdr>
            <w:top w:val="none" w:sz="0" w:space="0" w:color="auto"/>
            <w:left w:val="none" w:sz="0" w:space="0" w:color="auto"/>
            <w:bottom w:val="none" w:sz="0" w:space="0" w:color="auto"/>
            <w:right w:val="none" w:sz="0" w:space="0" w:color="auto"/>
          </w:divBdr>
        </w:div>
        <w:div w:id="174463607">
          <w:marLeft w:val="0"/>
          <w:marRight w:val="0"/>
          <w:marTop w:val="0"/>
          <w:marBottom w:val="0"/>
          <w:divBdr>
            <w:top w:val="none" w:sz="0" w:space="0" w:color="auto"/>
            <w:left w:val="none" w:sz="0" w:space="0" w:color="auto"/>
            <w:bottom w:val="none" w:sz="0" w:space="0" w:color="auto"/>
            <w:right w:val="none" w:sz="0" w:space="0" w:color="auto"/>
          </w:divBdr>
        </w:div>
        <w:div w:id="1831435746">
          <w:marLeft w:val="0"/>
          <w:marRight w:val="0"/>
          <w:marTop w:val="0"/>
          <w:marBottom w:val="0"/>
          <w:divBdr>
            <w:top w:val="none" w:sz="0" w:space="0" w:color="auto"/>
            <w:left w:val="none" w:sz="0" w:space="0" w:color="auto"/>
            <w:bottom w:val="none" w:sz="0" w:space="0" w:color="auto"/>
            <w:right w:val="none" w:sz="0" w:space="0" w:color="auto"/>
          </w:divBdr>
        </w:div>
        <w:div w:id="1213690877">
          <w:marLeft w:val="0"/>
          <w:marRight w:val="0"/>
          <w:marTop w:val="0"/>
          <w:marBottom w:val="0"/>
          <w:divBdr>
            <w:top w:val="none" w:sz="0" w:space="0" w:color="auto"/>
            <w:left w:val="none" w:sz="0" w:space="0" w:color="auto"/>
            <w:bottom w:val="none" w:sz="0" w:space="0" w:color="auto"/>
            <w:right w:val="none" w:sz="0" w:space="0" w:color="auto"/>
          </w:divBdr>
        </w:div>
        <w:div w:id="1214849394">
          <w:marLeft w:val="0"/>
          <w:marRight w:val="0"/>
          <w:marTop w:val="0"/>
          <w:marBottom w:val="0"/>
          <w:divBdr>
            <w:top w:val="none" w:sz="0" w:space="0" w:color="auto"/>
            <w:left w:val="none" w:sz="0" w:space="0" w:color="auto"/>
            <w:bottom w:val="none" w:sz="0" w:space="0" w:color="auto"/>
            <w:right w:val="none" w:sz="0" w:space="0" w:color="auto"/>
          </w:divBdr>
        </w:div>
        <w:div w:id="744835194">
          <w:blockQuote w:val="1"/>
          <w:marLeft w:val="720"/>
          <w:marRight w:val="720"/>
          <w:marTop w:val="100"/>
          <w:marBottom w:val="100"/>
          <w:divBdr>
            <w:top w:val="none" w:sz="0" w:space="0" w:color="auto"/>
            <w:left w:val="none" w:sz="0" w:space="0" w:color="auto"/>
            <w:bottom w:val="none" w:sz="0" w:space="0" w:color="auto"/>
            <w:right w:val="none" w:sz="0" w:space="0" w:color="auto"/>
          </w:divBdr>
        </w:div>
        <w:div w:id="2838250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792756">
          <w:marLeft w:val="0"/>
          <w:marRight w:val="0"/>
          <w:marTop w:val="0"/>
          <w:marBottom w:val="0"/>
          <w:divBdr>
            <w:top w:val="none" w:sz="0" w:space="0" w:color="auto"/>
            <w:left w:val="none" w:sz="0" w:space="0" w:color="auto"/>
            <w:bottom w:val="none" w:sz="0" w:space="0" w:color="auto"/>
            <w:right w:val="none" w:sz="0" w:space="0" w:color="auto"/>
          </w:divBdr>
        </w:div>
        <w:div w:id="748038145">
          <w:marLeft w:val="0"/>
          <w:marRight w:val="0"/>
          <w:marTop w:val="0"/>
          <w:marBottom w:val="0"/>
          <w:divBdr>
            <w:top w:val="none" w:sz="0" w:space="0" w:color="auto"/>
            <w:left w:val="none" w:sz="0" w:space="0" w:color="auto"/>
            <w:bottom w:val="none" w:sz="0" w:space="0" w:color="auto"/>
            <w:right w:val="none" w:sz="0" w:space="0" w:color="auto"/>
          </w:divBdr>
        </w:div>
        <w:div w:id="1340111667">
          <w:marLeft w:val="0"/>
          <w:marRight w:val="0"/>
          <w:marTop w:val="0"/>
          <w:marBottom w:val="0"/>
          <w:divBdr>
            <w:top w:val="none" w:sz="0" w:space="0" w:color="auto"/>
            <w:left w:val="none" w:sz="0" w:space="0" w:color="auto"/>
            <w:bottom w:val="none" w:sz="0" w:space="0" w:color="auto"/>
            <w:right w:val="none" w:sz="0" w:space="0" w:color="auto"/>
          </w:divBdr>
        </w:div>
        <w:div w:id="726277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419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95340250">
          <w:marLeft w:val="0"/>
          <w:marRight w:val="0"/>
          <w:marTop w:val="0"/>
          <w:marBottom w:val="0"/>
          <w:divBdr>
            <w:top w:val="none" w:sz="0" w:space="0" w:color="auto"/>
            <w:left w:val="none" w:sz="0" w:space="0" w:color="auto"/>
            <w:bottom w:val="none" w:sz="0" w:space="0" w:color="auto"/>
            <w:right w:val="none" w:sz="0" w:space="0" w:color="auto"/>
          </w:divBdr>
        </w:div>
        <w:div w:id="1964075313">
          <w:blockQuote w:val="1"/>
          <w:marLeft w:val="720"/>
          <w:marRight w:val="720"/>
          <w:marTop w:val="100"/>
          <w:marBottom w:val="100"/>
          <w:divBdr>
            <w:top w:val="none" w:sz="0" w:space="0" w:color="auto"/>
            <w:left w:val="none" w:sz="0" w:space="0" w:color="auto"/>
            <w:bottom w:val="none" w:sz="0" w:space="0" w:color="auto"/>
            <w:right w:val="none" w:sz="0" w:space="0" w:color="auto"/>
          </w:divBdr>
        </w:div>
        <w:div w:id="4236968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2480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598441">
          <w:marLeft w:val="0"/>
          <w:marRight w:val="0"/>
          <w:marTop w:val="0"/>
          <w:marBottom w:val="0"/>
          <w:divBdr>
            <w:top w:val="none" w:sz="0" w:space="0" w:color="auto"/>
            <w:left w:val="none" w:sz="0" w:space="0" w:color="auto"/>
            <w:bottom w:val="none" w:sz="0" w:space="0" w:color="auto"/>
            <w:right w:val="none" w:sz="0" w:space="0" w:color="auto"/>
          </w:divBdr>
        </w:div>
        <w:div w:id="1244727753">
          <w:marLeft w:val="0"/>
          <w:marRight w:val="0"/>
          <w:marTop w:val="0"/>
          <w:marBottom w:val="0"/>
          <w:divBdr>
            <w:top w:val="none" w:sz="0" w:space="0" w:color="auto"/>
            <w:left w:val="none" w:sz="0" w:space="0" w:color="auto"/>
            <w:bottom w:val="none" w:sz="0" w:space="0" w:color="auto"/>
            <w:right w:val="none" w:sz="0" w:space="0" w:color="auto"/>
          </w:divBdr>
        </w:div>
        <w:div w:id="15725468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812227">
          <w:marLeft w:val="0"/>
          <w:marRight w:val="0"/>
          <w:marTop w:val="0"/>
          <w:marBottom w:val="0"/>
          <w:divBdr>
            <w:top w:val="none" w:sz="0" w:space="0" w:color="auto"/>
            <w:left w:val="none" w:sz="0" w:space="0" w:color="auto"/>
            <w:bottom w:val="none" w:sz="0" w:space="0" w:color="auto"/>
            <w:right w:val="none" w:sz="0" w:space="0" w:color="auto"/>
          </w:divBdr>
        </w:div>
        <w:div w:id="2955312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414065">
          <w:marLeft w:val="0"/>
          <w:marRight w:val="0"/>
          <w:marTop w:val="0"/>
          <w:marBottom w:val="0"/>
          <w:divBdr>
            <w:top w:val="none" w:sz="0" w:space="0" w:color="auto"/>
            <w:left w:val="none" w:sz="0" w:space="0" w:color="auto"/>
            <w:bottom w:val="none" w:sz="0" w:space="0" w:color="auto"/>
            <w:right w:val="none" w:sz="0" w:space="0" w:color="auto"/>
          </w:divBdr>
        </w:div>
        <w:div w:id="590314620">
          <w:marLeft w:val="0"/>
          <w:marRight w:val="0"/>
          <w:marTop w:val="0"/>
          <w:marBottom w:val="0"/>
          <w:divBdr>
            <w:top w:val="none" w:sz="0" w:space="0" w:color="auto"/>
            <w:left w:val="none" w:sz="0" w:space="0" w:color="auto"/>
            <w:bottom w:val="none" w:sz="0" w:space="0" w:color="auto"/>
            <w:right w:val="none" w:sz="0" w:space="0" w:color="auto"/>
          </w:divBdr>
        </w:div>
        <w:div w:id="2121683510">
          <w:marLeft w:val="0"/>
          <w:marRight w:val="0"/>
          <w:marTop w:val="0"/>
          <w:marBottom w:val="0"/>
          <w:divBdr>
            <w:top w:val="none" w:sz="0" w:space="0" w:color="auto"/>
            <w:left w:val="none" w:sz="0" w:space="0" w:color="auto"/>
            <w:bottom w:val="none" w:sz="0" w:space="0" w:color="auto"/>
            <w:right w:val="none" w:sz="0" w:space="0" w:color="auto"/>
          </w:divBdr>
        </w:div>
        <w:div w:id="1608804793">
          <w:marLeft w:val="0"/>
          <w:marRight w:val="0"/>
          <w:marTop w:val="0"/>
          <w:marBottom w:val="0"/>
          <w:divBdr>
            <w:top w:val="none" w:sz="0" w:space="0" w:color="auto"/>
            <w:left w:val="none" w:sz="0" w:space="0" w:color="auto"/>
            <w:bottom w:val="none" w:sz="0" w:space="0" w:color="auto"/>
            <w:right w:val="none" w:sz="0" w:space="0" w:color="auto"/>
          </w:divBdr>
        </w:div>
        <w:div w:id="1288392381">
          <w:marLeft w:val="0"/>
          <w:marRight w:val="0"/>
          <w:marTop w:val="0"/>
          <w:marBottom w:val="0"/>
          <w:divBdr>
            <w:top w:val="none" w:sz="0" w:space="0" w:color="auto"/>
            <w:left w:val="none" w:sz="0" w:space="0" w:color="auto"/>
            <w:bottom w:val="none" w:sz="0" w:space="0" w:color="auto"/>
            <w:right w:val="none" w:sz="0" w:space="0" w:color="auto"/>
          </w:divBdr>
        </w:div>
        <w:div w:id="1245071467">
          <w:marLeft w:val="0"/>
          <w:marRight w:val="0"/>
          <w:marTop w:val="0"/>
          <w:marBottom w:val="0"/>
          <w:divBdr>
            <w:top w:val="none" w:sz="0" w:space="0" w:color="auto"/>
            <w:left w:val="none" w:sz="0" w:space="0" w:color="auto"/>
            <w:bottom w:val="none" w:sz="0" w:space="0" w:color="auto"/>
            <w:right w:val="none" w:sz="0" w:space="0" w:color="auto"/>
          </w:divBdr>
        </w:div>
        <w:div w:id="1018504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378823">
          <w:marLeft w:val="0"/>
          <w:marRight w:val="0"/>
          <w:marTop w:val="0"/>
          <w:marBottom w:val="0"/>
          <w:divBdr>
            <w:top w:val="none" w:sz="0" w:space="0" w:color="auto"/>
            <w:left w:val="none" w:sz="0" w:space="0" w:color="auto"/>
            <w:bottom w:val="none" w:sz="0" w:space="0" w:color="auto"/>
            <w:right w:val="none" w:sz="0" w:space="0" w:color="auto"/>
          </w:divBdr>
        </w:div>
        <w:div w:id="309988881">
          <w:blockQuote w:val="1"/>
          <w:marLeft w:val="720"/>
          <w:marRight w:val="720"/>
          <w:marTop w:val="100"/>
          <w:marBottom w:val="100"/>
          <w:divBdr>
            <w:top w:val="none" w:sz="0" w:space="0" w:color="auto"/>
            <w:left w:val="none" w:sz="0" w:space="0" w:color="auto"/>
            <w:bottom w:val="none" w:sz="0" w:space="0" w:color="auto"/>
            <w:right w:val="none" w:sz="0" w:space="0" w:color="auto"/>
          </w:divBdr>
        </w:div>
        <w:div w:id="862861757">
          <w:marLeft w:val="0"/>
          <w:marRight w:val="0"/>
          <w:marTop w:val="0"/>
          <w:marBottom w:val="0"/>
          <w:divBdr>
            <w:top w:val="none" w:sz="0" w:space="0" w:color="auto"/>
            <w:left w:val="none" w:sz="0" w:space="0" w:color="auto"/>
            <w:bottom w:val="none" w:sz="0" w:space="0" w:color="auto"/>
            <w:right w:val="none" w:sz="0" w:space="0" w:color="auto"/>
          </w:divBdr>
        </w:div>
        <w:div w:id="6059618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460763">
          <w:marLeft w:val="0"/>
          <w:marRight w:val="0"/>
          <w:marTop w:val="0"/>
          <w:marBottom w:val="0"/>
          <w:divBdr>
            <w:top w:val="none" w:sz="0" w:space="0" w:color="auto"/>
            <w:left w:val="none" w:sz="0" w:space="0" w:color="auto"/>
            <w:bottom w:val="none" w:sz="0" w:space="0" w:color="auto"/>
            <w:right w:val="none" w:sz="0" w:space="0" w:color="auto"/>
          </w:divBdr>
        </w:div>
        <w:div w:id="418720131">
          <w:blockQuote w:val="1"/>
          <w:marLeft w:val="720"/>
          <w:marRight w:val="720"/>
          <w:marTop w:val="100"/>
          <w:marBottom w:val="100"/>
          <w:divBdr>
            <w:top w:val="none" w:sz="0" w:space="0" w:color="auto"/>
            <w:left w:val="none" w:sz="0" w:space="0" w:color="auto"/>
            <w:bottom w:val="none" w:sz="0" w:space="0" w:color="auto"/>
            <w:right w:val="none" w:sz="0" w:space="0" w:color="auto"/>
          </w:divBdr>
        </w:div>
        <w:div w:id="346059126">
          <w:marLeft w:val="0"/>
          <w:marRight w:val="0"/>
          <w:marTop w:val="0"/>
          <w:marBottom w:val="0"/>
          <w:divBdr>
            <w:top w:val="none" w:sz="0" w:space="0" w:color="auto"/>
            <w:left w:val="none" w:sz="0" w:space="0" w:color="auto"/>
            <w:bottom w:val="none" w:sz="0" w:space="0" w:color="auto"/>
            <w:right w:val="none" w:sz="0" w:space="0" w:color="auto"/>
          </w:divBdr>
        </w:div>
        <w:div w:id="677390805">
          <w:marLeft w:val="0"/>
          <w:marRight w:val="0"/>
          <w:marTop w:val="0"/>
          <w:marBottom w:val="0"/>
          <w:divBdr>
            <w:top w:val="none" w:sz="0" w:space="0" w:color="auto"/>
            <w:left w:val="none" w:sz="0" w:space="0" w:color="auto"/>
            <w:bottom w:val="none" w:sz="0" w:space="0" w:color="auto"/>
            <w:right w:val="none" w:sz="0" w:space="0" w:color="auto"/>
          </w:divBdr>
        </w:div>
        <w:div w:id="1560828011">
          <w:marLeft w:val="0"/>
          <w:marRight w:val="0"/>
          <w:marTop w:val="0"/>
          <w:marBottom w:val="0"/>
          <w:divBdr>
            <w:top w:val="none" w:sz="0" w:space="0" w:color="auto"/>
            <w:left w:val="none" w:sz="0" w:space="0" w:color="auto"/>
            <w:bottom w:val="none" w:sz="0" w:space="0" w:color="auto"/>
            <w:right w:val="none" w:sz="0" w:space="0" w:color="auto"/>
          </w:divBdr>
        </w:div>
        <w:div w:id="1758483339">
          <w:marLeft w:val="0"/>
          <w:marRight w:val="0"/>
          <w:marTop w:val="0"/>
          <w:marBottom w:val="0"/>
          <w:divBdr>
            <w:top w:val="none" w:sz="0" w:space="0" w:color="auto"/>
            <w:left w:val="none" w:sz="0" w:space="0" w:color="auto"/>
            <w:bottom w:val="none" w:sz="0" w:space="0" w:color="auto"/>
            <w:right w:val="none" w:sz="0" w:space="0" w:color="auto"/>
          </w:divBdr>
        </w:div>
        <w:div w:id="218706486">
          <w:marLeft w:val="0"/>
          <w:marRight w:val="0"/>
          <w:marTop w:val="0"/>
          <w:marBottom w:val="0"/>
          <w:divBdr>
            <w:top w:val="none" w:sz="0" w:space="0" w:color="auto"/>
            <w:left w:val="none" w:sz="0" w:space="0" w:color="auto"/>
            <w:bottom w:val="none" w:sz="0" w:space="0" w:color="auto"/>
            <w:right w:val="none" w:sz="0" w:space="0" w:color="auto"/>
          </w:divBdr>
        </w:div>
        <w:div w:id="1436553809">
          <w:blockQuote w:val="1"/>
          <w:marLeft w:val="720"/>
          <w:marRight w:val="720"/>
          <w:marTop w:val="100"/>
          <w:marBottom w:val="100"/>
          <w:divBdr>
            <w:top w:val="none" w:sz="0" w:space="0" w:color="auto"/>
            <w:left w:val="none" w:sz="0" w:space="0" w:color="auto"/>
            <w:bottom w:val="none" w:sz="0" w:space="0" w:color="auto"/>
            <w:right w:val="none" w:sz="0" w:space="0" w:color="auto"/>
          </w:divBdr>
        </w:div>
        <w:div w:id="732432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726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27</Pages>
  <Words>3915</Words>
  <Characters>22319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ns2="http://purl.org/dc/terms/" xmlns:xsi="http://www.w3.org/2001/XMLSchema-instance">
  <dc:title>Waste2Value Test Phase Guide</dc:title>
  <dc:subject>Project-specific test scenarios and illustrative feedback examples</dc:subject>
  <dc:creator/>
  <cp:keywords/>
  <dc:description/>
  <cp:lastModifiedBy/>
  <cp:revision>7</cp:revision>
  <ns2:created xsi:type="dcterms:W3CDTF">2026-09-26T06:48:00Z</ns2:created>
  <ns2:modified xsi:type="dcterms:W3CDTF">2026-09-26T07:15:00Z</ns2:modified>
</cp:coreProperties>
</file>