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comments.xml" ContentType="application/vnd.openxmlformats-officedocument.wordprocessingml.comments+xml"/>
  <Override PartName="/word/theme/theme1.xml" ContentType="application/vnd.openxmlformats-officedocument.theme+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5">
      <w:pPr>
        <w:spacing w:before="2000" w:beforeAutospacing="0" w:afterAutospacing="0"/>
        <w:rPr/>
      </w:pPr>
    </w:p>
    <w:p w14:paraId="00000006">
      <w:pPr>
        <w:spacing w:beforeAutospacing="0" w:after="200" w:afterAutospacing="0"/>
        <w:jc w:val="center"/>
        <w:rPr/>
      </w:pPr>
      <w:r>
        <w:rPr>
          <w:b/>
          <w:bCs/>
          <w:color w:val="2c3e50"/>
          <w:sz w:val="56"/>
          <w:szCs w:val="56"/>
        </w:rPr>
        <w:t>Prédiction du Churn Client</w:t>
      </w:r>
    </w:p>
    <w:p w14:paraId="00000007">
      <w:pPr>
        <w:spacing w:beforeAutospacing="0" w:after="800" w:afterAutospacing="0"/>
        <w:jc w:val="center"/>
        <w:rPr>
          <w:u w:val="single"/>
        </w:rPr>
      </w:pPr>
      <w:r>
        <w:rPr>
          <w:color w:val="3498db"/>
          <w:sz w:val="32"/>
          <w:szCs w:val="32"/>
          <w:u w:val="single"/>
        </w:rPr>
        <w:t>Documentation Technique du Projet</w:t>
      </w:r>
    </w:p>
    <w:p w14:paraId="00000008">
      <w:pPr>
        <w:spacing w:beforeAutospacing="0" w:after="2000" w:afterAutospacing="0"/>
        <w:jc w:val="center"/>
        <w:rPr>
          <w:lang w:val="fr-FR"/>
        </w:rPr>
      </w:pPr>
      <w:r>
        <w:rPr>
          <w:i/>
          <w:iCs/>
          <w:color w:val="555555"/>
          <w:sz w:val="24"/>
          <w:szCs w:val="24"/>
          <w:lang w:val="fr-FR"/>
        </w:rPr>
        <w:t>Analyse, modélisation et validation d'un système de prédiction de résiliation client</w:t>
      </w:r>
    </w:p>
    <w:p w14:paraId="00000009">
      <w:pPr>
        <w:spacing w:beforeAutospacing="0" w:after="2000" w:afterAutospacing="0"/>
        <w:jc w:val="center"/>
        <w:rPr>
          <w:lang w:val="fr-FR"/>
        </w:rPr>
      </w:pPr>
      <w:r>
        <w:rPr>
          <w:b/>
          <w:bCs/>
          <w:lang w:val="fr-FR"/>
        </w:rPr>
        <w:t>Nom</w:t>
      </w:r>
      <w:r>
        <w:rPr>
          <w:lang w:val="fr-FR"/>
        </w:rPr>
        <w:t xml:space="preserve"> : SITAYEB                  </w:t>
      </w:r>
      <w:r>
        <w:rPr>
          <w:b/>
          <w:bCs/>
          <w:lang w:val="fr-FR"/>
        </w:rPr>
        <w:t xml:space="preserve"> Prénom</w:t>
      </w:r>
      <w:r>
        <w:rPr>
          <w:lang w:val="fr-FR"/>
        </w:rPr>
        <w:t xml:space="preserve"> : RYMA           </w:t>
      </w:r>
    </w:p>
    <w:p w14:paraId="0000000A">
      <w:pPr>
        <w:spacing w:beforeAutospacing="0" w:after="2000" w:afterAutospacing="0"/>
        <w:jc w:val="center"/>
        <w:rPr>
          <w:lang w:val="fr-FR"/>
        </w:rPr>
      </w:pPr>
      <w:r>
        <w:rPr>
          <w:lang w:val="fr-FR"/>
        </w:rPr>
        <w:t>Promotion :  AIA02-1 - Archit</w:t>
      </w:r>
      <w:r>
        <w:rPr>
          <w:lang w:val="fr-FR"/>
        </w:rPr>
        <w:t xml:space="preserve">ecte en intelligence artificielle 2025 –2026 </w:t>
      </w:r>
    </w:p>
    <w:p w14:paraId="0000000B">
      <w:pPr>
        <w:spacing w:beforeAutospacing="0" w:after="2000" w:afterAutospacing="0"/>
        <w:jc w:val="center"/>
        <w:rPr>
          <w:lang w:val="fr-FR"/>
        </w:rPr>
      </w:pPr>
      <w:r>
        <w:rPr>
          <w:lang w:val="fr-FR"/>
        </w:rPr>
        <w:drawing xmlns:mc="http://schemas.openxmlformats.org/markup-compatibility/2006">
          <wp:inline distT="0" distB="0" distL="0" distR="0">
            <wp:extent cx="1090295" cy="410210"/>
            <wp:effectExtent l="0" t="0" r="0" b="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École Multimédia - Phosphore"/>
                    <pic:cNvPicPr>
                      <a:picLocks noChangeAspect="1" noChangeArrowheads="1"/>
                    </pic:cNvPicPr>
                  </pic:nvPicPr>
                  <pic:blipFill>
                    <a:blip r:embed="rId44"/>
                    <a:srcRect/>
                    <a:stretch>
                      <a:fillRect/>
                    </a:stretch>
                  </pic:blipFill>
                  <pic:spPr>
                    <a:xfrm>
                      <a:off x="0" y="0"/>
                      <a:ext cx="1089731" cy="409575"/>
                    </a:xfrm>
                    <a:prstGeom prst="rect">
                      <a:avLst/>
                    </a:prstGeom>
                  </pic:spPr>
                </pic:pic>
              </a:graphicData>
            </a:graphic>
          </wp:inline>
        </w:drawing>
      </w:r>
      <w:r>
        <w:rPr>
          <w:lang w:val="fr-FR"/>
        </w:rPr>
        <w:t xml:space="preserve">       Établissement : L'École Multimédia</w:t>
      </w:r>
    </w:p>
    <w:p w14:paraId="0000000C">
      <w:pPr>
        <w:jc w:val="center"/>
        <w:rPr/>
      </w:pPr>
    </w:p>
    <w:p w14:paraId="0000000D">
      <w:pPr>
        <w:rPr>
          <w:color w:val="2e74b4" w:themeColor="accent5" w:themeShade="bf"/>
          <w:sz w:val="32"/>
          <w:szCs w:val="32"/>
        </w:rPr>
      </w:pPr>
      <w:r>
        <w:rPr>
          <w:color w:val="2e74b4" w:themeColor="accent5" w:themeShade="bf"/>
          <w:sz w:val="32"/>
          <w:szCs w:val="32"/>
        </w:rPr>
        <w:t>1. Contexte et objectifs du projet</w:t>
      </w:r>
    </w:p>
    <w:p w14:paraId="0000000E">
      <w:pPr>
        <w:spacing w:beforeAutospacing="0" w:after="160" w:afterAutospacing="0"/>
        <w:rPr/>
      </w:pPr>
      <w:r>
        <w:t>La résiliation client (churn) représente un enjeu majeur pour les opérateurs télécoms : acquérir un nouveau client coûte significativement plus cher que d'en retenir un existant. Ce projet vise à comprendre les facteurs qui poussent un client à résilier son abonnement, et à construire un modèle prédictif capable d'identifier en amont les clients à risque.</w:t>
      </w:r>
    </w:p>
    <w:p w14:paraId="0000000F">
      <w:pPr>
        <w:pStyle w:val="Heading2"/>
        <w:spacing w:before="300" w:beforeAutospacing="0" w:after="150" w:afterAutospacing="0"/>
        <w:rPr/>
      </w:pPr>
      <w:r>
        <w:t>1.1 Objectifs</w:t>
      </w:r>
    </w:p>
    <w:p w14:paraId="00000010">
      <w:pPr>
        <w:pStyle w:val="ListParagraph"/>
        <w:numPr>
          <w:ilvl w:val="0"/>
          <w:numId w:val="1"/>
        </w:numPr>
        <w:spacing w:beforeAutospacing="0" w:after="80" w:afterAutospacing="0"/>
        <w:rPr/>
      </w:pPr>
      <w:r>
        <w:t>Identifier, par une analyse exploratoire rigoureuse, les variables les plus associées au churn</w:t>
      </w:r>
    </w:p>
    <w:p w14:paraId="00000011">
      <w:pPr>
        <w:pStyle w:val="ListParagraph"/>
        <w:numPr>
          <w:ilvl w:val="0"/>
          <w:numId w:val="1"/>
        </w:numPr>
        <w:spacing w:beforeAutospacing="0" w:after="80" w:afterAutospacing="0"/>
        <w:rPr/>
      </w:pPr>
      <w:r>
        <w:t>Comparer plusieurs algorithmes de classification pour choisir le plus adapté au contexte métier</w:t>
      </w:r>
    </w:p>
    <w:p w14:paraId="00000012">
      <w:pPr>
        <w:pStyle w:val="ListParagraph"/>
        <w:numPr>
          <w:ilvl w:val="0"/>
          <w:numId w:val="1"/>
        </w:numPr>
        <w:spacing w:beforeAutospacing="0" w:after="80" w:afterAutospacing="0"/>
        <w:rPr/>
      </w:pPr>
      <w:r>
        <w:t>Valider la fiabilité du modèle retenu avant toute mise en production</w:t>
      </w:r>
    </w:p>
    <w:p w14:paraId="00000013">
      <w:pPr>
        <w:pStyle w:val="ListParagraph"/>
        <w:numPr>
          <w:ilvl w:val="0"/>
          <w:numId w:val="1"/>
        </w:numPr>
        <w:spacing w:beforeAutospacing="0" w:after="80" w:afterAutospacing="0"/>
        <w:rPr/>
      </w:pPr>
      <w:r>
        <w:t>Fournir une documentation claire justifiant chaque choix technique effectué</w:t>
      </w:r>
    </w:p>
    <w:p w14:paraId="00000014">
      <w:pPr>
        <w:pStyle w:val="Heading2"/>
        <w:spacing w:before="300" w:beforeAutospacing="0" w:after="150" w:afterAutospacing="0"/>
        <w:rPr/>
      </w:pPr>
      <w:r>
        <w:t>1.2 Jeu de données</w:t>
      </w:r>
    </w:p>
    <w:p w14:paraId="00000015">
      <w:pPr>
        <w:spacing w:beforeAutospacing="0" w:after="160" w:afterAutospacing="0"/>
        <w:rPr/>
      </w:pPr>
      <w:r>
        <w:t xml:space="preserve">Le dataset utilisé est le </w:t>
      </w:r>
      <w:r>
        <w:rPr>
          <w:lang w:val="fr-FR"/>
        </w:rPr>
        <w:t>“</w:t>
      </w:r>
      <w:r>
        <w:t>Telco Customer Churn</w:t>
      </w:r>
      <w:r>
        <w:rPr>
          <w:lang w:val="fr-FR"/>
        </w:rPr>
        <w:t>”</w:t>
      </w:r>
      <w:r>
        <w:t>, disponible publiquement sur Kaggle. Il contient 7 043 clients, décrits par 21 variables (démographiques, contractuelles, services souscrits, facturation), avec une variable cible binaire Churn (Yes/No).</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600"/>
        <w:gridCol w:w="1800"/>
        <w:gridCol w:w="5100"/>
      </w:tblGrid>
      <w:tr>
        <w:trPr/>
        <w:tc>
          <w:tcPr>
            <w:cnfStyle w:val="100010000000"/>
            <w:tcW w:w="2600" w:type="dxa"/>
            <w:shd w:val="clear" w:fill="34495e"/>
            <w:tcMar>
              <w:top w:w="80" w:type="dxa"/>
              <w:left w:w="100" w:type="dxa"/>
              <w:bottom w:w="80" w:type="dxa"/>
              <w:right w:w="100" w:type="dxa"/>
            </w:tcMar>
            <w:vAlign w:val="center"/>
          </w:tcPr>
          <w:p w14:paraId="00000016">
            <w:r>
              <w:rPr>
                <w:b/>
                <w:bCs/>
                <w:color w:val="ffffff"/>
              </w:rPr>
              <w:t>Catégorie</w:t>
            </w:r>
          </w:p>
        </w:tc>
        <w:tc>
          <w:tcPr>
            <w:cnfStyle w:val="100001000000"/>
            <w:tcW w:w="1800" w:type="dxa"/>
            <w:shd w:val="clear" w:fill="34495e"/>
            <w:tcMar>
              <w:top w:w="80" w:type="dxa"/>
              <w:left w:w="100" w:type="dxa"/>
              <w:bottom w:w="80" w:type="dxa"/>
              <w:right w:w="100" w:type="dxa"/>
            </w:tcMar>
            <w:vAlign w:val="center"/>
          </w:tcPr>
          <w:p w14:paraId="00000017">
            <w:r>
              <w:rPr>
                <w:b/>
                <w:bCs/>
                <w:color w:val="ffffff"/>
              </w:rPr>
              <w:t>Variables</w:t>
            </w:r>
          </w:p>
        </w:tc>
        <w:tc>
          <w:tcPr>
            <w:cnfStyle w:val="100010000000"/>
            <w:tcW w:w="5100" w:type="dxa"/>
            <w:shd w:val="clear" w:fill="34495e"/>
            <w:tcMar>
              <w:top w:w="80" w:type="dxa"/>
              <w:left w:w="100" w:type="dxa"/>
              <w:bottom w:w="80" w:type="dxa"/>
              <w:right w:w="100" w:type="dxa"/>
            </w:tcMar>
            <w:vAlign w:val="center"/>
          </w:tcPr>
          <w:p w14:paraId="00000018">
            <w:r>
              <w:rPr>
                <w:b/>
                <w:bCs/>
                <w:color w:val="ffffff"/>
              </w:rPr>
              <w:t>Exemples</w:t>
            </w:r>
          </w:p>
        </w:tc>
      </w:tr>
      <w:tr>
        <w:trPr/>
        <w:tc>
          <w:tcPr>
            <w:cnfStyle w:val="000010000000"/>
            <w:tcW w:w="2600" w:type="dxa"/>
            <w:tcMar>
              <w:top w:w="80" w:type="dxa"/>
              <w:left w:w="100" w:type="dxa"/>
              <w:bottom w:w="80" w:type="dxa"/>
              <w:right w:w="100" w:type="dxa"/>
            </w:tcMar>
            <w:vAlign w:val="center"/>
          </w:tcPr>
          <w:p w14:paraId="00000019">
            <w:r>
              <w:t>Démographiques</w:t>
            </w:r>
          </w:p>
        </w:tc>
        <w:tc>
          <w:tcPr>
            <w:cnfStyle w:val="000001000000"/>
            <w:tcW w:w="1800" w:type="dxa"/>
            <w:tcMar>
              <w:top w:w="80" w:type="dxa"/>
              <w:left w:w="100" w:type="dxa"/>
              <w:bottom w:w="80" w:type="dxa"/>
              <w:right w:w="100" w:type="dxa"/>
            </w:tcMar>
            <w:vAlign w:val="center"/>
          </w:tcPr>
          <w:p w14:paraId="0000001A">
            <w:r>
              <w:t>4</w:t>
            </w:r>
          </w:p>
        </w:tc>
        <w:tc>
          <w:tcPr>
            <w:cnfStyle w:val="000010000000"/>
            <w:tcW w:w="5100" w:type="dxa"/>
            <w:tcMar>
              <w:top w:w="80" w:type="dxa"/>
              <w:left w:w="100" w:type="dxa"/>
              <w:bottom w:w="80" w:type="dxa"/>
              <w:right w:w="100" w:type="dxa"/>
            </w:tcMar>
            <w:vAlign w:val="center"/>
          </w:tcPr>
          <w:p w14:paraId="0000001B">
            <w:r>
              <w:t>gender, SeniorCitizen, Partner, Dependents</w:t>
            </w:r>
          </w:p>
        </w:tc>
      </w:tr>
      <w:tr>
        <w:trPr/>
        <w:tc>
          <w:tcPr>
            <w:cnfStyle w:val="000010000000"/>
            <w:tcW w:w="2600" w:type="dxa"/>
            <w:shd w:val="clear" w:fill="f2f3f4"/>
            <w:tcMar>
              <w:top w:w="80" w:type="dxa"/>
              <w:left w:w="100" w:type="dxa"/>
              <w:bottom w:w="80" w:type="dxa"/>
              <w:right w:w="100" w:type="dxa"/>
            </w:tcMar>
            <w:vAlign w:val="center"/>
          </w:tcPr>
          <w:p w14:paraId="0000001C">
            <w:r>
              <w:t>Contractuelles</w:t>
            </w:r>
          </w:p>
        </w:tc>
        <w:tc>
          <w:tcPr>
            <w:cnfStyle w:val="000001000000"/>
            <w:tcW w:w="1800" w:type="dxa"/>
            <w:shd w:val="clear" w:fill="f2f3f4"/>
            <w:tcMar>
              <w:top w:w="80" w:type="dxa"/>
              <w:left w:w="100" w:type="dxa"/>
              <w:bottom w:w="80" w:type="dxa"/>
              <w:right w:w="100" w:type="dxa"/>
            </w:tcMar>
            <w:vAlign w:val="center"/>
          </w:tcPr>
          <w:p w14:paraId="0000001D">
            <w:r>
              <w:t>3</w:t>
            </w:r>
          </w:p>
        </w:tc>
        <w:tc>
          <w:tcPr>
            <w:cnfStyle w:val="000010000000"/>
            <w:tcW w:w="5100" w:type="dxa"/>
            <w:shd w:val="clear" w:fill="f2f3f4"/>
            <w:tcMar>
              <w:top w:w="80" w:type="dxa"/>
              <w:left w:w="100" w:type="dxa"/>
              <w:bottom w:w="80" w:type="dxa"/>
              <w:right w:w="100" w:type="dxa"/>
            </w:tcMar>
            <w:vAlign w:val="center"/>
          </w:tcPr>
          <w:p w14:paraId="0000001E">
            <w:r>
              <w:t>Contract, PaperlessBilling, PaymentMethod</w:t>
            </w:r>
          </w:p>
        </w:tc>
      </w:tr>
      <w:tr>
        <w:trPr/>
        <w:tc>
          <w:tcPr>
            <w:cnfStyle w:val="000010000000"/>
            <w:tcW w:w="2600" w:type="dxa"/>
            <w:tcMar>
              <w:top w:w="80" w:type="dxa"/>
              <w:left w:w="100" w:type="dxa"/>
              <w:bottom w:w="80" w:type="dxa"/>
              <w:right w:w="100" w:type="dxa"/>
            </w:tcMar>
            <w:vAlign w:val="center"/>
          </w:tcPr>
          <w:p w14:paraId="0000001F">
            <w:r>
              <w:t>Services</w:t>
            </w:r>
          </w:p>
        </w:tc>
        <w:tc>
          <w:tcPr>
            <w:cnfStyle w:val="000001000000"/>
            <w:tcW w:w="1800" w:type="dxa"/>
            <w:tcMar>
              <w:top w:w="80" w:type="dxa"/>
              <w:left w:w="100" w:type="dxa"/>
              <w:bottom w:w="80" w:type="dxa"/>
              <w:right w:w="100" w:type="dxa"/>
            </w:tcMar>
            <w:vAlign w:val="center"/>
          </w:tcPr>
          <w:p w14:paraId="00000020">
            <w:r>
              <w:t>9</w:t>
            </w:r>
          </w:p>
        </w:tc>
        <w:tc>
          <w:tcPr>
            <w:cnfStyle w:val="000010000000"/>
            <w:tcW w:w="5100" w:type="dxa"/>
            <w:tcMar>
              <w:top w:w="80" w:type="dxa"/>
              <w:left w:w="100" w:type="dxa"/>
              <w:bottom w:w="80" w:type="dxa"/>
              <w:right w:w="100" w:type="dxa"/>
            </w:tcMar>
            <w:vAlign w:val="center"/>
          </w:tcPr>
          <w:p w14:paraId="00000021">
            <w:r>
              <w:t>InternetService, OnlineSecurity, TechSupport, StreamingTV...</w:t>
            </w:r>
          </w:p>
        </w:tc>
      </w:tr>
      <w:tr>
        <w:trPr/>
        <w:tc>
          <w:tcPr>
            <w:cnfStyle w:val="000010000000"/>
            <w:tcW w:w="2600" w:type="dxa"/>
            <w:shd w:val="clear" w:fill="f2f3f4"/>
            <w:tcMar>
              <w:top w:w="80" w:type="dxa"/>
              <w:left w:w="100" w:type="dxa"/>
              <w:bottom w:w="80" w:type="dxa"/>
              <w:right w:w="100" w:type="dxa"/>
            </w:tcMar>
            <w:vAlign w:val="center"/>
          </w:tcPr>
          <w:p w14:paraId="00000022">
            <w:r>
              <w:t>Facturation</w:t>
            </w:r>
          </w:p>
        </w:tc>
        <w:tc>
          <w:tcPr>
            <w:cnfStyle w:val="000001000000"/>
            <w:tcW w:w="1800" w:type="dxa"/>
            <w:shd w:val="clear" w:fill="f2f3f4"/>
            <w:tcMar>
              <w:top w:w="80" w:type="dxa"/>
              <w:left w:w="100" w:type="dxa"/>
              <w:bottom w:w="80" w:type="dxa"/>
              <w:right w:w="100" w:type="dxa"/>
            </w:tcMar>
            <w:vAlign w:val="center"/>
          </w:tcPr>
          <w:p w14:paraId="00000023">
            <w:r>
              <w:t>3</w:t>
            </w:r>
          </w:p>
        </w:tc>
        <w:tc>
          <w:tcPr>
            <w:cnfStyle w:val="000010000000"/>
            <w:tcW w:w="5100" w:type="dxa"/>
            <w:shd w:val="clear" w:fill="f2f3f4"/>
            <w:tcMar>
              <w:top w:w="80" w:type="dxa"/>
              <w:left w:w="100" w:type="dxa"/>
              <w:bottom w:w="80" w:type="dxa"/>
              <w:right w:w="100" w:type="dxa"/>
            </w:tcMar>
            <w:vAlign w:val="center"/>
          </w:tcPr>
          <w:p w14:paraId="00000024">
            <w:r>
              <w:t>tenure, MonthlyCharges, TotalCharges</w:t>
            </w:r>
          </w:p>
        </w:tc>
      </w:tr>
      <w:tr>
        <w:trPr/>
        <w:tc>
          <w:tcPr>
            <w:cnfStyle w:val="000010000000"/>
            <w:tcW w:w="2600" w:type="dxa"/>
            <w:tcMar>
              <w:top w:w="80" w:type="dxa"/>
              <w:left w:w="100" w:type="dxa"/>
              <w:bottom w:w="80" w:type="dxa"/>
              <w:right w:w="100" w:type="dxa"/>
            </w:tcMar>
            <w:vAlign w:val="center"/>
          </w:tcPr>
          <w:p w14:paraId="00000025">
            <w:r>
              <w:t>Identifiant / Cible</w:t>
            </w:r>
          </w:p>
        </w:tc>
        <w:tc>
          <w:tcPr>
            <w:cnfStyle w:val="000001000000"/>
            <w:tcW w:w="1800" w:type="dxa"/>
            <w:tcMar>
              <w:top w:w="80" w:type="dxa"/>
              <w:left w:w="100" w:type="dxa"/>
              <w:bottom w:w="80" w:type="dxa"/>
              <w:right w:w="100" w:type="dxa"/>
            </w:tcMar>
            <w:vAlign w:val="center"/>
          </w:tcPr>
          <w:p w14:paraId="00000026">
            <w:r>
              <w:t>2</w:t>
            </w:r>
          </w:p>
        </w:tc>
        <w:tc>
          <w:tcPr>
            <w:cnfStyle w:val="000010000000"/>
            <w:tcW w:w="5100" w:type="dxa"/>
            <w:tcMar>
              <w:top w:w="80" w:type="dxa"/>
              <w:left w:w="100" w:type="dxa"/>
              <w:bottom w:w="80" w:type="dxa"/>
              <w:right w:w="100" w:type="dxa"/>
            </w:tcMar>
            <w:vAlign w:val="center"/>
          </w:tcPr>
          <w:p w14:paraId="00000027">
            <w:r>
              <w:t>customerID, Churn</w:t>
            </w:r>
          </w:p>
        </w:tc>
      </w:tr>
    </w:tbl>
    <w:p w14:paraId="00000028">
      <w:pPr>
        <w:spacing w:beforeAutospacing="0" w:after="300" w:afterAutospacing="0"/>
        <w:jc w:val="center"/>
        <w:rPr/>
      </w:pPr>
      <w:r>
        <w:rPr>
          <w:i/>
          <w:iCs/>
          <w:color w:val="555555"/>
          <w:sz w:val="18"/>
          <w:szCs w:val="18"/>
        </w:rPr>
        <w:t>Tableau 1 — Répartition des 21 variables du dataset par catégorie</w:t>
      </w:r>
    </w:p>
    <w:p w14:paraId="00000029">
      <w:pPr>
        <w:pStyle w:val="Heading1"/>
        <w:spacing w:before="400" w:beforeAutospacing="0" w:after="200" w:afterAutospacing="0"/>
        <w:rPr/>
      </w:pPr>
      <w:r>
        <w:t>2. Architecture du pipeline</w:t>
      </w:r>
    </w:p>
    <w:p w14:paraId="0000002A">
      <w:pPr>
        <w:spacing w:beforeAutospacing="0" w:after="160" w:afterAutospacing="0"/>
        <w:rPr/>
      </w:pPr>
      <w:r>
        <w:t>Le projet est structuré en étapes séquentielles, chacune produisant les données nécessaires à l'étape suivante. Cette séparation en notebooks distincts garantit la traçabilité et la reproductibilité du travail.</w:t>
      </w:r>
    </w:p>
    <w:p w14:paraId="0000002B">
      <w:pPr>
        <w:spacing w:before="100" w:beforeAutospacing="0" w:after="100" w:afterAutospacing="0"/>
        <w:jc w:val="center"/>
        <w:rPr/>
      </w:pPr>
      <w:r>
        <w:rPr/>
        <w:drawing xmlns:mc="http://schemas.openxmlformats.org/markup-compatibility/2006">
          <wp:inline distT="0" distB="0" distL="0" distR="0">
            <wp:extent cx="5715000" cy="1238250"/>
            <wp:effectExtent l="0" t="0" r="0" b="0"/>
            <wp:docPr id="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45"/>
                    <a:srcRect/>
                    <a:stretch>
                      <a:fillRect/>
                    </a:stretch>
                  </pic:blipFill>
                  <pic:spPr>
                    <a:xfrm>
                      <a:off x="0" y="0"/>
                      <a:ext cx="5715000" cy="1238250"/>
                    </a:xfrm>
                    <a:prstGeom prst="rect">
                      <a:avLst/>
                    </a:prstGeom>
                  </pic:spPr>
                </pic:pic>
              </a:graphicData>
            </a:graphic>
          </wp:inline>
        </w:drawing>
      </w:r>
    </w:p>
    <w:p w14:paraId="0000002C">
      <w:pPr>
        <w:spacing w:beforeAutospacing="0" w:after="300" w:afterAutospacing="0"/>
        <w:jc w:val="center"/>
        <w:rPr/>
      </w:pPr>
      <w:r>
        <w:rPr>
          <w:i/>
          <w:iCs/>
          <w:color w:val="555555"/>
          <w:sz w:val="18"/>
          <w:szCs w:val="18"/>
        </w:rPr>
        <w:t>Figure 1 — Architecture générale du pipeline de traitement</w:t>
      </w:r>
    </w:p>
    <w:p w14:paraId="0000002D">
      <w:pPr>
        <w:pStyle w:val="Heading2"/>
        <w:spacing w:before="300" w:beforeAutospacing="0" w:after="150" w:afterAutospacing="0"/>
        <w:rPr/>
      </w:pPr>
    </w:p>
    <w:p w14:paraId="0000002E">
      <w:pPr>
        <w:pStyle w:val="Heading2"/>
        <w:spacing w:before="300" w:beforeAutospacing="0" w:after="150" w:afterAutospacing="0"/>
        <w:rPr/>
      </w:pPr>
    </w:p>
    <w:p w14:paraId="0000002F">
      <w:pPr>
        <w:pStyle w:val="Heading2"/>
        <w:spacing w:before="300" w:beforeAutospacing="0" w:after="150" w:afterAutospacing="0"/>
        <w:rPr/>
      </w:pPr>
    </w:p>
    <w:p w14:paraId="00000030">
      <w:pPr>
        <w:pStyle w:val="Heading2"/>
        <w:spacing w:before="300" w:beforeAutospacing="0" w:after="150" w:afterAutospacing="0"/>
        <w:rPr/>
      </w:pPr>
      <w:r>
        <w:t>2.1 Structure des dossiers</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200"/>
        <w:gridCol w:w="6300"/>
      </w:tblGrid>
      <w:tr>
        <w:trPr/>
        <w:tc>
          <w:tcPr>
            <w:cnfStyle w:val="100010000000"/>
            <w:tcW w:w="3200" w:type="dxa"/>
            <w:shd w:val="clear" w:fill="34495e"/>
            <w:tcMar>
              <w:top w:w="80" w:type="dxa"/>
              <w:left w:w="100" w:type="dxa"/>
              <w:bottom w:w="80" w:type="dxa"/>
              <w:right w:w="100" w:type="dxa"/>
            </w:tcMar>
            <w:vAlign w:val="center"/>
          </w:tcPr>
          <w:p w14:paraId="00000031">
            <w:r>
              <w:rPr>
                <w:b/>
                <w:bCs/>
                <w:color w:val="ffffff"/>
              </w:rPr>
              <w:t>Dossier / Fichier</w:t>
            </w:r>
          </w:p>
        </w:tc>
        <w:tc>
          <w:tcPr>
            <w:cnfStyle w:val="100001000000"/>
            <w:tcW w:w="6300" w:type="dxa"/>
            <w:shd w:val="clear" w:fill="34495e"/>
            <w:tcMar>
              <w:top w:w="80" w:type="dxa"/>
              <w:left w:w="100" w:type="dxa"/>
              <w:bottom w:w="80" w:type="dxa"/>
              <w:right w:w="100" w:type="dxa"/>
            </w:tcMar>
            <w:vAlign w:val="center"/>
          </w:tcPr>
          <w:p w14:paraId="00000032">
            <w:r>
              <w:rPr>
                <w:b/>
                <w:bCs/>
                <w:color w:val="ffffff"/>
              </w:rPr>
              <w:t>Rôle</w:t>
            </w:r>
          </w:p>
        </w:tc>
      </w:tr>
      <w:tr>
        <w:trPr/>
        <w:tc>
          <w:tcPr>
            <w:cnfStyle w:val="000010000000"/>
            <w:tcW w:w="3200" w:type="dxa"/>
            <w:tcMar>
              <w:top w:w="80" w:type="dxa"/>
              <w:left w:w="100" w:type="dxa"/>
              <w:bottom w:w="80" w:type="dxa"/>
              <w:right w:w="100" w:type="dxa"/>
            </w:tcMar>
            <w:vAlign w:val="center"/>
          </w:tcPr>
          <w:p w14:paraId="00000033">
            <w:r>
              <w:t>Data/raw/</w:t>
            </w:r>
          </w:p>
        </w:tc>
        <w:tc>
          <w:tcPr>
            <w:cnfStyle w:val="000001000000"/>
            <w:tcW w:w="6300" w:type="dxa"/>
            <w:tcMar>
              <w:top w:w="80" w:type="dxa"/>
              <w:left w:w="100" w:type="dxa"/>
              <w:bottom w:w="80" w:type="dxa"/>
              <w:right w:w="100" w:type="dxa"/>
            </w:tcMar>
            <w:vAlign w:val="center"/>
          </w:tcPr>
          <w:p w14:paraId="00000034">
            <w:r>
              <w:t>Données brutes, jamais modifiées, régénérables via un script de téléchargement</w:t>
            </w:r>
          </w:p>
        </w:tc>
      </w:tr>
      <w:tr>
        <w:trPr/>
        <w:tc>
          <w:tcPr>
            <w:cnfStyle w:val="000010000000"/>
            <w:tcW w:w="3200" w:type="dxa"/>
            <w:shd w:val="clear" w:fill="f2f3f4"/>
            <w:tcMar>
              <w:top w:w="80" w:type="dxa"/>
              <w:left w:w="100" w:type="dxa"/>
              <w:bottom w:w="80" w:type="dxa"/>
              <w:right w:w="100" w:type="dxa"/>
            </w:tcMar>
            <w:vAlign w:val="center"/>
          </w:tcPr>
          <w:p w14:paraId="00000035">
            <w:r>
              <w:t>Data/processed/</w:t>
            </w:r>
          </w:p>
        </w:tc>
        <w:tc>
          <w:tcPr>
            <w:cnfStyle w:val="000001000000"/>
            <w:tcW w:w="6300" w:type="dxa"/>
            <w:shd w:val="clear" w:fill="f2f3f4"/>
            <w:tcMar>
              <w:top w:w="80" w:type="dxa"/>
              <w:left w:w="100" w:type="dxa"/>
              <w:bottom w:w="80" w:type="dxa"/>
              <w:right w:w="100" w:type="dxa"/>
            </w:tcMar>
            <w:vAlign w:val="center"/>
          </w:tcPr>
          <w:p w14:paraId="00000036">
            <w:r>
              <w:t>Données nettoyées, encodées, déjà séparées en train/test</w:t>
            </w:r>
          </w:p>
        </w:tc>
      </w:tr>
      <w:tr>
        <w:trPr/>
        <w:tc>
          <w:tcPr>
            <w:cnfStyle w:val="000010000000"/>
            <w:tcW w:w="3200" w:type="dxa"/>
            <w:tcMar>
              <w:top w:w="80" w:type="dxa"/>
              <w:left w:w="100" w:type="dxa"/>
              <w:bottom w:w="80" w:type="dxa"/>
              <w:right w:w="100" w:type="dxa"/>
            </w:tcMar>
            <w:vAlign w:val="center"/>
          </w:tcPr>
          <w:p w14:paraId="00000037">
            <w:r>
              <w:t>models/</w:t>
            </w:r>
          </w:p>
        </w:tc>
        <w:tc>
          <w:tcPr>
            <w:cnfStyle w:val="000001000000"/>
            <w:tcW w:w="6300" w:type="dxa"/>
            <w:tcMar>
              <w:top w:w="80" w:type="dxa"/>
              <w:left w:w="100" w:type="dxa"/>
              <w:bottom w:w="80" w:type="dxa"/>
              <w:right w:w="100" w:type="dxa"/>
            </w:tcMar>
            <w:vAlign w:val="center"/>
          </w:tcPr>
          <w:p w14:paraId="00000038">
            <w:r>
              <w:t>Modèle final entraîné, sauvegardé au format .joblib</w:t>
            </w:r>
          </w:p>
        </w:tc>
      </w:tr>
      <w:tr>
        <w:trPr/>
        <w:tc>
          <w:tcPr>
            <w:cnfStyle w:val="000010000000"/>
            <w:tcW w:w="3200" w:type="dxa"/>
            <w:shd w:val="clear" w:fill="f2f3f4"/>
            <w:tcMar>
              <w:top w:w="80" w:type="dxa"/>
              <w:left w:w="100" w:type="dxa"/>
              <w:bottom w:w="80" w:type="dxa"/>
              <w:right w:w="100" w:type="dxa"/>
            </w:tcMar>
            <w:vAlign w:val="center"/>
          </w:tcPr>
          <w:p w14:paraId="00000039">
            <w:r>
              <w:t>notebooks/</w:t>
            </w:r>
          </w:p>
        </w:tc>
        <w:tc>
          <w:tcPr>
            <w:cnfStyle w:val="000001000000"/>
            <w:tcW w:w="6300" w:type="dxa"/>
            <w:shd w:val="clear" w:fill="f2f3f4"/>
            <w:tcMar>
              <w:top w:w="80" w:type="dxa"/>
              <w:left w:w="100" w:type="dxa"/>
              <w:bottom w:w="80" w:type="dxa"/>
              <w:right w:w="100" w:type="dxa"/>
            </w:tcMar>
            <w:vAlign w:val="center"/>
          </w:tcPr>
          <w:p w14:paraId="0000003A">
            <w:r>
              <w:t>Notebooks d'analyse, de modélisation et de validation</w:t>
            </w:r>
          </w:p>
        </w:tc>
      </w:tr>
      <w:tr>
        <w:trPr/>
        <w:tc>
          <w:tcPr>
            <w:cnfStyle w:val="000010000000"/>
            <w:tcW w:w="3200" w:type="dxa"/>
            <w:tcMar>
              <w:top w:w="80" w:type="dxa"/>
              <w:left w:w="100" w:type="dxa"/>
              <w:bottom w:w="80" w:type="dxa"/>
              <w:right w:w="100" w:type="dxa"/>
            </w:tcMar>
            <w:vAlign w:val="center"/>
          </w:tcPr>
          <w:p w14:paraId="0000003B">
            <w:r>
              <w:t>src/</w:t>
            </w:r>
          </w:p>
        </w:tc>
        <w:tc>
          <w:tcPr>
            <w:cnfStyle w:val="000001000000"/>
            <w:tcW w:w="6300" w:type="dxa"/>
            <w:tcMar>
              <w:top w:w="80" w:type="dxa"/>
              <w:left w:w="100" w:type="dxa"/>
              <w:bottom w:w="80" w:type="dxa"/>
              <w:right w:w="100" w:type="dxa"/>
            </w:tcMar>
            <w:vAlign w:val="center"/>
          </w:tcPr>
          <w:p w14:paraId="0000003C">
            <w:r>
              <w:t>Scripts utilitaires (téléchargement des données)</w:t>
            </w:r>
          </w:p>
        </w:tc>
      </w:tr>
    </w:tbl>
    <w:p w14:paraId="0000003D">
      <w:pPr>
        <w:spacing w:beforeAutospacing="0" w:after="300" w:afterAutospacing="0"/>
        <w:jc w:val="center"/>
        <w:rPr/>
      </w:pPr>
      <w:r>
        <w:rPr>
          <w:i/>
          <w:iCs/>
          <w:color w:val="555555"/>
          <w:sz w:val="18"/>
          <w:szCs w:val="18"/>
        </w:rPr>
        <w:t>Tableau 2 — Organisation du dépôt de code</w:t>
      </w:r>
    </w:p>
    <w:p w14:paraId="0000003E">
      <w:pPr>
        <w:pStyle w:val="Heading1"/>
        <w:spacing w:before="400" w:beforeAutospacing="0" w:after="200" w:afterAutospacing="0"/>
        <w:rPr/>
      </w:pPr>
      <w:r>
        <w:t>3. Nettoyage et préparation des données</w:t>
      </w:r>
    </w:p>
    <w:p w14:paraId="0000003F">
      <w:pPr>
        <w:spacing w:beforeAutospacing="0" w:after="160" w:afterAutospacing="0"/>
        <w:rPr/>
      </w:pPr>
      <w:r>
        <w:t>Cette étape garantit que les données utilisées pour l'entraînement du modèle sont fiables, cohérentes et exploitables.</w:t>
      </w:r>
    </w:p>
    <w:p w14:paraId="00000040">
      <w:pPr>
        <w:pStyle w:val="Heading2"/>
        <w:spacing w:before="300" w:beforeAutospacing="0" w:after="150" w:afterAutospacing="0"/>
        <w:rPr/>
      </w:pPr>
      <w:r>
        <w:t>3.1 Choix effectués et justifications</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600"/>
        <w:gridCol w:w="3100"/>
        <w:gridCol w:w="3800"/>
      </w:tblGrid>
      <w:tr>
        <w:trPr/>
        <w:tc>
          <w:tcPr>
            <w:cnfStyle w:val="100010000000"/>
            <w:tcW w:w="2600" w:type="dxa"/>
            <w:shd w:val="clear" w:fill="34495e"/>
            <w:tcMar>
              <w:top w:w="80" w:type="dxa"/>
              <w:left w:w="100" w:type="dxa"/>
              <w:bottom w:w="80" w:type="dxa"/>
              <w:right w:w="100" w:type="dxa"/>
            </w:tcMar>
            <w:vAlign w:val="center"/>
          </w:tcPr>
          <w:p w14:paraId="00000041">
            <w:r>
              <w:rPr>
                <w:b/>
                <w:bCs/>
                <w:color w:val="ffffff"/>
              </w:rPr>
              <w:t>Problème identifié</w:t>
            </w:r>
          </w:p>
        </w:tc>
        <w:tc>
          <w:tcPr>
            <w:cnfStyle w:val="100001000000"/>
            <w:tcW w:w="3100" w:type="dxa"/>
            <w:shd w:val="clear" w:fill="34495e"/>
            <w:tcMar>
              <w:top w:w="80" w:type="dxa"/>
              <w:left w:w="100" w:type="dxa"/>
              <w:bottom w:w="80" w:type="dxa"/>
              <w:right w:w="100" w:type="dxa"/>
            </w:tcMar>
            <w:vAlign w:val="center"/>
          </w:tcPr>
          <w:p w14:paraId="00000042">
            <w:r>
              <w:rPr>
                <w:b/>
                <w:bCs/>
                <w:color w:val="ffffff"/>
              </w:rPr>
              <w:t>Choix effectué</w:t>
            </w:r>
          </w:p>
        </w:tc>
        <w:tc>
          <w:tcPr>
            <w:cnfStyle w:val="100010000000"/>
            <w:tcW w:w="3800" w:type="dxa"/>
            <w:shd w:val="clear" w:fill="34495e"/>
            <w:tcMar>
              <w:top w:w="80" w:type="dxa"/>
              <w:left w:w="100" w:type="dxa"/>
              <w:bottom w:w="80" w:type="dxa"/>
              <w:right w:w="100" w:type="dxa"/>
            </w:tcMar>
            <w:vAlign w:val="center"/>
          </w:tcPr>
          <w:p w14:paraId="00000043">
            <w:r>
              <w:rPr>
                <w:b/>
                <w:bCs/>
                <w:color w:val="ffffff"/>
              </w:rPr>
              <w:t>Justification</w:t>
            </w:r>
          </w:p>
        </w:tc>
      </w:tr>
      <w:tr>
        <w:trPr/>
        <w:tc>
          <w:tcPr>
            <w:cnfStyle w:val="000010000000"/>
            <w:tcW w:w="2600" w:type="dxa"/>
            <w:tcMar>
              <w:top w:w="80" w:type="dxa"/>
              <w:left w:w="100" w:type="dxa"/>
              <w:bottom w:w="80" w:type="dxa"/>
              <w:right w:w="100" w:type="dxa"/>
            </w:tcMar>
            <w:vAlign w:val="center"/>
          </w:tcPr>
          <w:p w14:paraId="00000044">
            <w:r>
              <w:t>TotalCharges non numérique (espaces vides)</w:t>
            </w:r>
          </w:p>
        </w:tc>
        <w:tc>
          <w:tcPr>
            <w:cnfStyle w:val="000001000000"/>
            <w:tcW w:w="3100" w:type="dxa"/>
            <w:tcMar>
              <w:top w:w="80" w:type="dxa"/>
              <w:left w:w="100" w:type="dxa"/>
              <w:bottom w:w="80" w:type="dxa"/>
              <w:right w:w="100" w:type="dxa"/>
            </w:tcMar>
            <w:vAlign w:val="center"/>
          </w:tcPr>
          <w:p w14:paraId="00000045">
            <w:r>
              <w:t>Conversion en numérique avec errors="coerce", puis remplacement par 0</w:t>
            </w:r>
          </w:p>
        </w:tc>
        <w:tc>
          <w:tcPr>
            <w:cnfStyle w:val="000010000000"/>
            <w:tcW w:w="3800" w:type="dxa"/>
            <w:tcMar>
              <w:top w:w="80" w:type="dxa"/>
              <w:left w:w="100" w:type="dxa"/>
              <w:bottom w:w="80" w:type="dxa"/>
              <w:right w:w="100" w:type="dxa"/>
            </w:tcMar>
            <w:vAlign w:val="center"/>
          </w:tcPr>
          <w:p w14:paraId="00000046">
            <w:r>
              <w:t>Les 11 valeurs concernées correspondent exactement à des clients avec tenure = 0 (nouveaux clients, pas encore facturés)</w:t>
            </w:r>
          </w:p>
        </w:tc>
      </w:tr>
      <w:tr>
        <w:trPr/>
        <w:tc>
          <w:tcPr>
            <w:cnfStyle w:val="000010000000"/>
            <w:tcW w:w="2600" w:type="dxa"/>
            <w:shd w:val="clear" w:fill="f2f3f4"/>
            <w:tcMar>
              <w:top w:w="80" w:type="dxa"/>
              <w:left w:w="100" w:type="dxa"/>
              <w:bottom w:w="80" w:type="dxa"/>
              <w:right w:w="100" w:type="dxa"/>
            </w:tcMar>
            <w:vAlign w:val="center"/>
          </w:tcPr>
          <w:p w14:paraId="00000047">
            <w:r>
              <w:t>Doublons potentiels</w:t>
            </w:r>
          </w:p>
        </w:tc>
        <w:tc>
          <w:tcPr>
            <w:cnfStyle w:val="000001000000"/>
            <w:tcW w:w="3100" w:type="dxa"/>
            <w:shd w:val="clear" w:fill="f2f3f4"/>
            <w:tcMar>
              <w:top w:w="80" w:type="dxa"/>
              <w:left w:w="100" w:type="dxa"/>
              <w:bottom w:w="80" w:type="dxa"/>
              <w:right w:w="100" w:type="dxa"/>
            </w:tcMar>
            <w:vAlign w:val="center"/>
          </w:tcPr>
          <w:p w14:paraId="00000048">
            <w:r>
              <w:t>Vérification systématique avec duplicated()</w:t>
            </w:r>
          </w:p>
        </w:tc>
        <w:tc>
          <w:tcPr>
            <w:cnfStyle w:val="000010000000"/>
            <w:tcW w:w="3800" w:type="dxa"/>
            <w:shd w:val="clear" w:fill="f2f3f4"/>
            <w:tcMar>
              <w:top w:w="80" w:type="dxa"/>
              <w:left w:w="100" w:type="dxa"/>
              <w:bottom w:w="80" w:type="dxa"/>
              <w:right w:w="100" w:type="dxa"/>
            </w:tcMar>
            <w:vAlign w:val="center"/>
          </w:tcPr>
          <w:p w14:paraId="00000049">
            <w:r>
              <w:t>Aucun doublon trouvé dans ce dataset, mais le contrôle reste nécessaire pour la robustesse du pipeline</w:t>
            </w:r>
          </w:p>
        </w:tc>
      </w:tr>
      <w:tr>
        <w:trPr/>
        <w:tc>
          <w:tcPr>
            <w:cnfStyle w:val="000010000000"/>
            <w:tcW w:w="2600" w:type="dxa"/>
            <w:tcMar>
              <w:top w:w="80" w:type="dxa"/>
              <w:left w:w="100" w:type="dxa"/>
              <w:bottom w:w="80" w:type="dxa"/>
              <w:right w:w="100" w:type="dxa"/>
            </w:tcMar>
            <w:vAlign w:val="center"/>
          </w:tcPr>
          <w:p w14:paraId="0000004A">
            <w:r>
              <w:t>Colonnes booléennes après encodage</w:t>
            </w:r>
          </w:p>
        </w:tc>
        <w:tc>
          <w:tcPr>
            <w:cnfStyle w:val="000001000000"/>
            <w:tcW w:w="3100" w:type="dxa"/>
            <w:tcMar>
              <w:top w:w="80" w:type="dxa"/>
              <w:left w:w="100" w:type="dxa"/>
              <w:bottom w:w="80" w:type="dxa"/>
              <w:right w:w="100" w:type="dxa"/>
            </w:tcMar>
            <w:vAlign w:val="center"/>
          </w:tcPr>
          <w:p w14:paraId="0000004B">
            <w:r>
              <w:t>Conversion explicite bool → int</w:t>
            </w:r>
          </w:p>
        </w:tc>
        <w:tc>
          <w:tcPr>
            <w:cnfStyle w:val="000010000000"/>
            <w:tcW w:w="3800" w:type="dxa"/>
            <w:tcMar>
              <w:top w:w="80" w:type="dxa"/>
              <w:left w:w="100" w:type="dxa"/>
              <w:bottom w:w="80" w:type="dxa"/>
              <w:right w:w="100" w:type="dxa"/>
            </w:tcMar>
            <w:vAlign w:val="center"/>
          </w:tcPr>
          <w:p w14:paraId="0000004C">
            <w:r>
              <w:t>Un CSV plus lisible ; comportement strictement identique pour un modèle de ML</w:t>
            </w:r>
          </w:p>
        </w:tc>
      </w:tr>
      <w:tr>
        <w:trPr/>
        <w:tc>
          <w:tcPr>
            <w:cnfStyle w:val="000010000000"/>
            <w:tcW w:w="2600" w:type="dxa"/>
            <w:shd w:val="clear" w:fill="f2f3f4"/>
            <w:tcMar>
              <w:top w:w="80" w:type="dxa"/>
              <w:left w:w="100" w:type="dxa"/>
              <w:bottom w:w="80" w:type="dxa"/>
              <w:right w:w="100" w:type="dxa"/>
            </w:tcMar>
            <w:vAlign w:val="center"/>
          </w:tcPr>
          <w:p w14:paraId="0000004D">
            <w:r>
              <w:t>Type de standardisation</w:t>
            </w:r>
          </w:p>
        </w:tc>
        <w:tc>
          <w:tcPr>
            <w:cnfStyle w:val="000001000000"/>
            <w:tcW w:w="3100" w:type="dxa"/>
            <w:shd w:val="clear" w:fill="f2f3f4"/>
            <w:tcMar>
              <w:top w:w="80" w:type="dxa"/>
              <w:left w:w="100" w:type="dxa"/>
              <w:bottom w:w="80" w:type="dxa"/>
              <w:right w:w="100" w:type="dxa"/>
            </w:tcMar>
            <w:vAlign w:val="center"/>
          </w:tcPr>
          <w:p w14:paraId="0000004E">
            <w:r>
              <w:t>StandardScaler ajusté uniquement sur le train</w:t>
            </w:r>
          </w:p>
        </w:tc>
        <w:tc>
          <w:tcPr>
            <w:cnfStyle w:val="000010000000"/>
            <w:tcW w:w="3800" w:type="dxa"/>
            <w:shd w:val="clear" w:fill="f2f3f4"/>
            <w:tcMar>
              <w:top w:w="80" w:type="dxa"/>
              <w:left w:w="100" w:type="dxa"/>
              <w:bottom w:w="80" w:type="dxa"/>
              <w:right w:w="100" w:type="dxa"/>
            </w:tcMar>
            <w:vAlign w:val="center"/>
          </w:tcPr>
          <w:p w14:paraId="0000004F">
            <w:r>
              <w:t>Évite la fuite de données (data leakage) — voir section 4.2</w:t>
            </w:r>
          </w:p>
        </w:tc>
      </w:tr>
    </w:tbl>
    <w:p w14:paraId="00000050">
      <w:pPr>
        <w:spacing w:beforeAutospacing="0" w:after="300" w:afterAutospacing="0"/>
        <w:jc w:val="center"/>
        <w:rPr/>
      </w:pPr>
      <w:r>
        <w:rPr>
          <w:i/>
          <w:iCs/>
          <w:color w:val="555555"/>
          <w:sz w:val="18"/>
          <w:szCs w:val="18"/>
        </w:rPr>
        <w:t>Tableau 3 — Choix de nettoyage et justifications associées</w:t>
      </w:r>
    </w:p>
    <w:p w14:paraId="00000051">
      <w:pPr>
        <w:pStyle w:val="Heading2"/>
        <w:spacing w:before="300" w:beforeAutospacing="0" w:after="150" w:afterAutospacing="0"/>
        <w:rPr/>
      </w:pPr>
      <w:r>
        <w:t>3.2 Vérifications de qualité complémentaires</w:t>
      </w:r>
    </w:p>
    <w:p w14:paraId="00000052">
      <w:pPr>
        <w:spacing w:beforeAutospacing="0" w:after="160" w:afterAutospacing="0"/>
        <w:rPr/>
      </w:pPr>
      <w:r>
        <w:t>Au-delà du traitement des valeurs manquantes, des contrôles supplémentaires ont été mis en place :</w:t>
      </w:r>
    </w:p>
    <w:p w14:paraId="00000053">
      <w:pPr>
        <w:pStyle w:val="ListParagraph"/>
        <w:numPr>
          <w:ilvl w:val="0"/>
          <w:numId w:val="1"/>
        </w:numPr>
        <w:spacing w:beforeAutospacing="0" w:after="80" w:afterAutospacing="0"/>
        <w:rPr/>
      </w:pPr>
      <w:r>
        <w:t>Cohérence logique entre variables liées (ex : PhoneService = No implique MultipleLines = "No phone service")</w:t>
      </w:r>
    </w:p>
    <w:p w14:paraId="00000054">
      <w:pPr>
        <w:pStyle w:val="ListParagraph"/>
        <w:numPr>
          <w:ilvl w:val="0"/>
          <w:numId w:val="1"/>
        </w:numPr>
        <w:spacing w:beforeAutospacing="0" w:after="80" w:afterAutospacing="0"/>
        <w:rPr/>
      </w:pPr>
      <w:r>
        <w:t>Détection des valeurs aberrantes (méthode IQR) sur les variables numériques</w:t>
      </w:r>
    </w:p>
    <w:p w14:paraId="00000055">
      <w:pPr>
        <w:pStyle w:val="ListParagraph"/>
        <w:numPr>
          <w:ilvl w:val="0"/>
          <w:numId w:val="1"/>
        </w:numPr>
        <w:spacing w:beforeAutospacing="0" w:after="80" w:afterAutospacing="0"/>
        <w:rPr/>
      </w:pPr>
      <w:r>
        <w:t>Vérification des types de données et des plages de valeurs attendues</w:t>
      </w:r>
    </w:p>
    <w:p w14:paraId="00000056">
      <w:pPr>
        <w:spacing w:beforeAutospacing="0" w:after="160" w:afterAutospacing="0"/>
        <w:rPr/>
      </w:pPr>
      <w:r>
        <w:t>Aucune incohérence n'a été détectée sur ce dataset, confirmant sa qualité, mais ces vérifications sont conservées dans le pipeline pour détecter tout problème lors d'une future mise à jour des données.</w:t>
      </w:r>
    </w:p>
    <w:p w14:paraId="00000057">
      <w:pPr>
        <w:pStyle w:val="Heading1"/>
        <w:spacing w:before="400" w:beforeAutospacing="0" w:after="200" w:afterAutospacing="0"/>
        <w:rPr/>
      </w:pPr>
      <w:r>
        <w:t>4. Analyse exploratoire — Facteurs de risque identifiés</w:t>
      </w:r>
    </w:p>
    <w:p w14:paraId="00000058">
      <w:pPr>
        <w:spacing w:beforeAutospacing="0" w:after="160" w:afterAutospacing="0"/>
        <w:rPr/>
      </w:pPr>
      <w:r>
        <w:t>L'analyse exploratoire s'appuie principalement sur le taux de churn (%) par catégorie plutôt que sur des comptages bruts, afin de mesurer directement le risque associé à chaque profil de client.</w:t>
      </w:r>
    </w:p>
    <w:p w14:paraId="00000059">
      <w:pPr>
        <w:pStyle w:val="Heading2"/>
        <w:spacing w:before="300" w:beforeAutospacing="0" w:after="150" w:afterAutospacing="0"/>
        <w:rPr/>
      </w:pPr>
      <w:r>
        <w:t>4.1 Vue d'ensemble — Répartition du Churn</w:t>
      </w:r>
    </w:p>
    <w:p w14:paraId="0000005A">
      <w:pPr>
        <w:spacing w:before="100" w:beforeAutospacing="0" w:after="100" w:afterAutospacing="0"/>
        <w:jc w:val="center"/>
        <w:rPr/>
      </w:pPr>
      <w:r>
        <w:rPr/>
        <w:drawing xmlns:mc="http://schemas.openxmlformats.org/markup-compatibility/2006">
          <wp:inline distT="0" distB="0" distL="0" distR="0">
            <wp:extent cx="3619500" cy="2714625"/>
            <wp:effectExtent l="0" t="0" r="0" b="0"/>
            <wp:docPr id="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46"/>
                    <a:srcRect/>
                    <a:stretch>
                      <a:fillRect/>
                    </a:stretch>
                  </pic:blipFill>
                  <pic:spPr>
                    <a:xfrm>
                      <a:off x="0" y="0"/>
                      <a:ext cx="3619500" cy="2714625"/>
                    </a:xfrm>
                    <a:prstGeom prst="rect">
                      <a:avLst/>
                    </a:prstGeom>
                  </pic:spPr>
                </pic:pic>
              </a:graphicData>
            </a:graphic>
          </wp:inline>
        </w:drawing>
      </w:r>
    </w:p>
    <w:p w14:paraId="0000005B">
      <w:pPr>
        <w:spacing w:beforeAutospacing="0" w:after="300" w:afterAutospacing="0"/>
        <w:jc w:val="center"/>
        <w:rPr/>
      </w:pPr>
      <w:r>
        <w:rPr>
          <w:i/>
          <w:iCs/>
          <w:color w:val="555555"/>
          <w:sz w:val="18"/>
          <w:szCs w:val="18"/>
        </w:rPr>
        <w:t>Figure 2 — Répartition des clients selon le Churn</w:t>
      </w:r>
    </w:p>
    <w:p w14:paraId="0000005C">
      <w:pPr>
        <w:spacing w:beforeAutospacing="0" w:after="160" w:afterAutospacing="0"/>
        <w:rPr/>
      </w:pPr>
      <w:r>
        <w:t>26,5 % des clients ont résilié leur abonnement. Ce déséquilibre des classes conditionne l'ensemble des choix méthodologiques ultérieurs : métrique d'évaluation (AUC plutôt qu'accuracy), pondération des classes dans les modèles (class_weight='balanced').</w:t>
      </w:r>
    </w:p>
    <w:p w14:paraId="0000005D">
      <w:pPr>
        <w:pStyle w:val="Heading2"/>
        <w:spacing w:before="300" w:beforeAutospacing="0" w:after="150" w:afterAutospacing="0"/>
        <w:rPr/>
      </w:pPr>
      <w:r>
        <w:t>4.2 Facteur n°1 : le type de contrat</w:t>
      </w:r>
    </w:p>
    <w:p w14:paraId="0000005E">
      <w:pPr>
        <w:spacing w:before="100" w:beforeAutospacing="0" w:after="100" w:afterAutospacing="0"/>
        <w:jc w:val="center"/>
        <w:rPr/>
      </w:pPr>
      <w:r>
        <w:rPr/>
        <w:drawing xmlns:mc="http://schemas.openxmlformats.org/markup-compatibility/2006">
          <wp:inline distT="0" distB="0" distL="0" distR="0">
            <wp:extent cx="3810000" cy="2476500"/>
            <wp:effectExtent l="0" t="0" r="0" b="0"/>
            <wp:docPr id="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7"/>
                    <a:srcRect/>
                    <a:stretch>
                      <a:fillRect/>
                    </a:stretch>
                  </pic:blipFill>
                  <pic:spPr>
                    <a:xfrm>
                      <a:off x="0" y="0"/>
                      <a:ext cx="3810000" cy="2476500"/>
                    </a:xfrm>
                    <a:prstGeom prst="rect">
                      <a:avLst/>
                    </a:prstGeom>
                  </pic:spPr>
                </pic:pic>
              </a:graphicData>
            </a:graphic>
          </wp:inline>
        </w:drawing>
      </w:r>
    </w:p>
    <w:p w14:paraId="0000005F">
      <w:pPr>
        <w:spacing w:beforeAutospacing="0" w:after="300" w:afterAutospacing="0"/>
        <w:jc w:val="center"/>
        <w:rPr/>
      </w:pPr>
      <w:r>
        <w:rPr>
          <w:i/>
          <w:iCs/>
          <w:color w:val="555555"/>
          <w:sz w:val="18"/>
          <w:szCs w:val="18"/>
        </w:rPr>
        <w:t>Figure 3 — Taux de churn par type de contrat</w:t>
      </w:r>
    </w:p>
    <w:p w14:paraId="00000060">
      <w:pPr>
        <w:spacing w:beforeAutospacing="0" w:after="160" w:afterAutospacing="0"/>
        <w:rPr/>
      </w:pPr>
      <w:r>
        <w:t>Le contrat mensuel concentre la grande majorité des départs (38,7 %), contre 14,8 % pour un engagement d'un an et seulement 9,8 % pour un engagement de deux ans. L'engagement contractuel est le facteur le plus déterminant identifié dans cette étude.</w:t>
      </w:r>
    </w:p>
    <w:p w14:paraId="00000061">
      <w:pPr>
        <w:pStyle w:val="Heading2"/>
        <w:spacing w:before="300" w:beforeAutospacing="0" w:after="150" w:afterAutospacing="0"/>
        <w:rPr/>
      </w:pPr>
    </w:p>
    <w:p w14:paraId="00000062">
      <w:pPr>
        <w:pStyle w:val="Heading2"/>
        <w:spacing w:before="300" w:beforeAutospacing="0" w:after="150" w:afterAutospacing="0"/>
        <w:rPr/>
      </w:pPr>
    </w:p>
    <w:p w14:paraId="00000063">
      <w:pPr>
        <w:pStyle w:val="Heading2"/>
        <w:spacing w:before="300" w:beforeAutospacing="0" w:after="150" w:afterAutospacing="0"/>
        <w:rPr/>
      </w:pPr>
    </w:p>
    <w:p w14:paraId="00000064">
      <w:pPr>
        <w:pStyle w:val="Heading2"/>
        <w:spacing w:before="300" w:beforeAutospacing="0" w:after="150" w:afterAutospacing="0"/>
        <w:rPr/>
      </w:pPr>
      <w:r>
        <w:t>4.3 Ancienneté du client</w:t>
      </w:r>
    </w:p>
    <w:p w14:paraId="00000065">
      <w:pPr>
        <w:spacing w:before="100" w:beforeAutospacing="0" w:after="100" w:afterAutospacing="0"/>
        <w:jc w:val="center"/>
        <w:rPr/>
      </w:pPr>
      <w:r>
        <w:rPr/>
        <w:drawing xmlns:mc="http://schemas.openxmlformats.org/markup-compatibility/2006">
          <wp:inline distT="0" distB="0" distL="0" distR="0">
            <wp:extent cx="4000500" cy="2238375"/>
            <wp:effectExtent l="0" t="0" r="0" b="0"/>
            <wp:docPr id="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48"/>
                    <a:srcRect/>
                    <a:stretch>
                      <a:fillRect/>
                    </a:stretch>
                  </pic:blipFill>
                  <pic:spPr>
                    <a:xfrm>
                      <a:off x="0" y="0"/>
                      <a:ext cx="4000500" cy="2238375"/>
                    </a:xfrm>
                    <a:prstGeom prst="rect">
                      <a:avLst/>
                    </a:prstGeom>
                  </pic:spPr>
                </pic:pic>
              </a:graphicData>
            </a:graphic>
          </wp:inline>
        </w:drawing>
      </w:r>
    </w:p>
    <w:p w14:paraId="00000066">
      <w:pPr>
        <w:spacing w:beforeAutospacing="0" w:after="300" w:afterAutospacing="0"/>
        <w:jc w:val="center"/>
        <w:rPr/>
      </w:pPr>
      <w:r>
        <w:rPr>
          <w:i/>
          <w:iCs/>
          <w:color w:val="555555"/>
          <w:sz w:val="18"/>
          <w:szCs w:val="18"/>
        </w:rPr>
        <w:t>Figure 4 — Distribution de l'ancienneté selon le Churn</w:t>
      </w:r>
    </w:p>
    <w:p w14:paraId="00000067">
      <w:pPr>
        <w:spacing w:before="100" w:beforeAutospacing="0" w:after="100" w:afterAutospacing="0"/>
        <w:jc w:val="center"/>
        <w:rPr/>
      </w:pPr>
      <w:r>
        <w:rPr/>
        <w:drawing xmlns:mc="http://schemas.openxmlformats.org/markup-compatibility/2006">
          <wp:inline distT="0" distB="0" distL="0" distR="0">
            <wp:extent cx="3619500" cy="2238375"/>
            <wp:effectExtent l="0" t="0" r="0" b="0"/>
            <wp:docPr id="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49"/>
                    <a:srcRect/>
                    <a:stretch>
                      <a:fillRect/>
                    </a:stretch>
                  </pic:blipFill>
                  <pic:spPr>
                    <a:xfrm>
                      <a:off x="0" y="0"/>
                      <a:ext cx="3619500" cy="2238375"/>
                    </a:xfrm>
                    <a:prstGeom prst="rect">
                      <a:avLst/>
                    </a:prstGeom>
                  </pic:spPr>
                </pic:pic>
              </a:graphicData>
            </a:graphic>
          </wp:inline>
        </w:drawing>
      </w:r>
    </w:p>
    <w:p w14:paraId="00000068">
      <w:pPr>
        <w:spacing w:beforeAutospacing="0" w:after="300" w:afterAutospacing="0"/>
        <w:jc w:val="center"/>
        <w:rPr/>
      </w:pPr>
      <w:r>
        <w:rPr>
          <w:i/>
          <w:iCs/>
          <w:color w:val="555555"/>
          <w:sz w:val="18"/>
          <w:szCs w:val="18"/>
        </w:rPr>
        <w:t>Figure 5 — Taux de churn par tranche d'ancienneté</w:t>
      </w:r>
    </w:p>
    <w:p w14:paraId="00000069">
      <w:pPr>
        <w:spacing w:beforeAutospacing="0" w:after="160" w:afterAutospacing="0"/>
        <w:rPr/>
      </w:pPr>
      <w:r>
        <w:t>Le taux de churn chute fortement après la première année, confirmant que l'effort de rétention doit se concentrer sur les 12 premiers mois de la relation client.</w:t>
      </w:r>
    </w:p>
    <w:p w14:paraId="0000006A">
      <w:pPr>
        <w:pStyle w:val="Heading2"/>
        <w:spacing w:before="300" w:beforeAutospacing="0" w:after="150" w:afterAutospacing="0"/>
        <w:rPr/>
      </w:pPr>
      <w:r>
        <w:t>4.4 Charges mensuelles et totales</w:t>
      </w:r>
    </w:p>
    <w:p w14:paraId="0000006B">
      <w:pPr>
        <w:spacing w:before="100" w:beforeAutospacing="0" w:after="100" w:afterAutospacing="0"/>
        <w:jc w:val="center"/>
        <w:rPr/>
      </w:pPr>
      <w:r>
        <w:rPr/>
        <w:drawing xmlns:mc="http://schemas.openxmlformats.org/markup-compatibility/2006">
          <wp:anchor allowOverlap="1" behindDoc="0" distT="0" distB="0" distL="118872" distR="118872" layoutInCell="1" locked="0" relativeHeight="3" simplePos="0">
            <wp:simplePos x="0" y="0"/>
            <wp:positionH relativeFrom="margin">
              <wp:posOffset>1437005</wp:posOffset>
            </wp:positionH>
            <wp:positionV relativeFrom="margin">
              <wp:posOffset>6300470</wp:posOffset>
            </wp:positionV>
            <wp:extent cx="2857500" cy="2047875"/>
            <wp:effectExtent l="0" t="0" r="0" b="0"/>
            <wp:wrapTight wrapText="bothSides">
              <wp:wrapPolygon edited="0">
                <wp:start x="-322" y="-375"/>
                <wp:lineTo x="-322" y="21727"/>
                <wp:lineTo x="21739" y="21727"/>
                <wp:lineTo x="21739" y="-375"/>
                <wp:lineTo x="-322" y="-375"/>
              </wp:wrapPolygon>
            </wp:wrapTight>
            <wp:docPr id="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50"/>
                    <a:srcRect/>
                    <a:stretch>
                      <a:fillRect/>
                    </a:stretch>
                  </pic:blipFill>
                  <pic:spPr>
                    <a:xfrm>
                      <a:off x="0" y="0"/>
                      <a:ext cx="2857500" cy="2047875"/>
                    </a:xfrm>
                    <a:prstGeom prst="rect">
                      <a:avLst/>
                    </a:prstGeom>
                  </pic:spPr>
                </pic:pic>
              </a:graphicData>
            </a:graphic>
          </wp:anchor>
        </w:drawing>
      </w:r>
    </w:p>
    <w:p w14:paraId="0000006C">
      <w:pPr>
        <w:spacing w:before="100" w:beforeAutospacing="0" w:after="100" w:afterAutospacing="0"/>
        <w:jc w:val="center"/>
        <w:rPr/>
      </w:pPr>
      <w:r>
        <w:rPr/>
        <w:drawing xmlns:mc="http://schemas.openxmlformats.org/markup-compatibility/2006">
          <wp:inline distT="0" distB="0" distL="118872" distR="118872">
            <wp:extent cx="2857500" cy="2047875"/>
            <wp:effectExtent l="0" t="0" r="0" b="0"/>
            <wp:docPr id="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51"/>
                    <a:srcRect/>
                    <a:stretch>
                      <a:fillRect/>
                    </a:stretch>
                  </pic:blipFill>
                  <pic:spPr>
                    <a:xfrm>
                      <a:off x="0" y="0"/>
                      <a:ext cx="2857500" cy="2047875"/>
                    </a:xfrm>
                    <a:prstGeom prst="rect">
                      <a:avLst/>
                    </a:prstGeom>
                  </pic:spPr>
                </pic:pic>
              </a:graphicData>
            </a:graphic>
          </wp:inline>
        </w:drawing>
      </w:r>
    </w:p>
    <w:p w14:paraId="0000006D">
      <w:pPr>
        <w:spacing w:beforeAutospacing="0" w:after="300" w:afterAutospacing="0"/>
        <w:jc w:val="center"/>
        <w:rPr/>
      </w:pPr>
      <w:r>
        <w:rPr>
          <w:i/>
          <w:iCs/>
          <w:color w:val="555555"/>
          <w:sz w:val="18"/>
          <w:szCs w:val="18"/>
        </w:rPr>
        <w:t>Figure 6 — Charges mensuelles (gauche) et charges totales (droite) selon le Churn</w:t>
      </w:r>
    </w:p>
    <w:p w14:paraId="0000006E">
      <w:pPr>
        <w:spacing w:beforeAutospacing="0" w:after="160" w:afterAutospacing="0"/>
        <w:rPr/>
      </w:pPr>
      <w:r>
        <w:t>Les clients qui partent paient en moyenne des charges mensuelles plus élevées, mais des charges totales plus faibles — un effet indirect de leur ancienneté réduite, et non une relation contradictoire.</w:t>
      </w:r>
    </w:p>
    <w:p w14:paraId="0000006F">
      <w:pPr>
        <w:pStyle w:val="Heading2"/>
        <w:spacing w:before="300" w:beforeAutospacing="0" w:after="150" w:afterAutospacing="0"/>
        <w:rPr/>
      </w:pPr>
      <w:r>
        <w:t>4.5 Corrélations entre variables numériques</w:t>
      </w:r>
    </w:p>
    <w:p w14:paraId="00000070">
      <w:pPr>
        <w:spacing w:before="100" w:beforeAutospacing="0" w:after="100" w:afterAutospacing="0"/>
        <w:jc w:val="center"/>
        <w:rPr/>
      </w:pPr>
      <w:r>
        <w:rPr/>
        <w:drawing xmlns:mc="http://schemas.openxmlformats.org/markup-compatibility/2006">
          <wp:inline distT="0" distB="0" distL="118872" distR="118872">
            <wp:extent cx="2667000" cy="2238375"/>
            <wp:effectExtent l="0" t="0" r="0" b="0"/>
            <wp:docPr id="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52"/>
                    <a:srcRect/>
                    <a:stretch>
                      <a:fillRect/>
                    </a:stretch>
                  </pic:blipFill>
                  <pic:spPr>
                    <a:xfrm>
                      <a:off x="0" y="0"/>
                      <a:ext cx="2667000" cy="2238375"/>
                    </a:xfrm>
                    <a:prstGeom prst="rect">
                      <a:avLst/>
                    </a:prstGeom>
                  </pic:spPr>
                </pic:pic>
              </a:graphicData>
            </a:graphic>
          </wp:inline>
        </w:drawing>
      </w:r>
      <w:r>
        <w:rPr/>
        <w:drawing xmlns:mc="http://schemas.openxmlformats.org/markup-compatibility/2006">
          <wp:inline distT="0" distB="0" distL="118872" distR="118872">
            <wp:extent cx="2667000" cy="2238375"/>
            <wp:effectExtent l="0" t="0" r="0" b="0"/>
            <wp:docPr id="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53"/>
                    <a:srcRect/>
                    <a:stretch>
                      <a:fillRect/>
                    </a:stretch>
                  </pic:blipFill>
                  <pic:spPr>
                    <a:xfrm>
                      <a:off x="0" y="0"/>
                      <a:ext cx="2667000" cy="2238375"/>
                    </a:xfrm>
                    <a:prstGeom prst="rect">
                      <a:avLst/>
                    </a:prstGeom>
                  </pic:spPr>
                </pic:pic>
              </a:graphicData>
            </a:graphic>
          </wp:inline>
        </w:drawing>
      </w:r>
    </w:p>
    <w:p w14:paraId="00000071">
      <w:pPr>
        <w:spacing w:before="100" w:beforeAutospacing="0" w:after="100" w:afterAutospacing="0"/>
        <w:jc w:val="center"/>
        <w:rPr/>
      </w:pPr>
    </w:p>
    <w:p w14:paraId="00000072">
      <w:pPr>
        <w:spacing w:beforeAutospacing="0" w:after="300" w:afterAutospacing="0"/>
        <w:jc w:val="center"/>
        <w:rPr/>
      </w:pPr>
      <w:r>
        <w:rPr>
          <w:i/>
          <w:iCs/>
          <w:color w:val="555555"/>
          <w:sz w:val="18"/>
          <w:szCs w:val="18"/>
        </w:rPr>
        <w:t>Figure 7 — Corrélations entre variables numériques (gauche) et avec le Churn (droite)</w:t>
      </w:r>
    </w:p>
    <w:p w14:paraId="00000073">
      <w:pPr>
        <w:pStyle w:val="Heading2"/>
        <w:spacing w:before="300" w:beforeAutospacing="0" w:after="150" w:afterAutospacing="0"/>
        <w:rPr/>
      </w:pPr>
      <w:r>
        <w:t>4.6 Profil démographique</w:t>
      </w:r>
    </w:p>
    <w:p w14:paraId="00000074">
      <w:pPr>
        <w:pStyle w:val="Normal"/>
        <w:rPr/>
      </w:pPr>
      <w:r>
        <w:rPr/>
        <w:drawing xmlns:mc="http://schemas.openxmlformats.org/markup-compatibility/2006">
          <wp:inline distT="0" distB="0" distL="118872" distR="118872">
            <wp:extent cx="6146165" cy="1485265"/>
            <wp:effectExtent l="0" t="0" r="0" b="0"/>
            <wp:docPr id="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Grp="0" noSelect="0" noChangeAspect="1" noMove="0"/>
                    </pic:cNvPicPr>
                  </pic:nvPicPr>
                  <pic:blipFill>
                    <a:blip r:embed="rId54"/>
                    <a:srcRect/>
                    <a:stretch>
                      <a:fillRect/>
                    </a:stretch>
                  </pic:blipFill>
                  <pic:spPr>
                    <a:xfrm>
                      <a:off x="0" y="0"/>
                      <a:ext cx="6146165" cy="1485265"/>
                    </a:xfrm>
                    <a:prstGeom prst="rect">
                      <a:avLst/>
                    </a:prstGeom>
                  </pic:spPr>
                </pic:pic>
              </a:graphicData>
            </a:graphic>
          </wp:inline>
        </w:drawing>
      </w:r>
    </w:p>
    <w:p w14:paraId="00000075">
      <w:pPr>
        <w:spacing w:before="100" w:beforeAutospacing="0" w:after="100" w:afterAutospacing="0"/>
        <w:jc w:val="center"/>
        <w:rPr/>
      </w:pPr>
    </w:p>
    <w:p w14:paraId="00000076">
      <w:pPr>
        <w:spacing w:beforeAutospacing="0" w:after="300" w:afterAutospacing="0"/>
        <w:jc w:val="center"/>
        <w:rPr/>
      </w:pPr>
      <w:r>
        <w:rPr>
          <w:i/>
          <w:iCs/>
          <w:color w:val="555555"/>
          <w:sz w:val="18"/>
          <w:szCs w:val="18"/>
        </w:rPr>
        <w:t>Figure 8 — Taux de churn selon le profil démographique</w:t>
      </w:r>
    </w:p>
    <w:p w14:paraId="00000077">
      <w:pPr>
        <w:spacing w:beforeAutospacing="0" w:after="160" w:afterAutospacing="0"/>
        <w:rPr/>
      </w:pPr>
      <w:r>
        <w:t>Le genre n'a aucun impact significatif (27,1 % vs 25,9 %). En revanche, être senior (35,6 % vs 24,8 %), sans partenaire (30,2 % vs 22,6 %) ou sans personne à charge (28,0 % vs 23,0 %) est associé à un risque de churn nettement supérieur.</w:t>
      </w:r>
    </w:p>
    <w:p w14:paraId="00000078">
      <w:pPr>
        <w:pStyle w:val="Heading2"/>
        <w:spacing w:before="300" w:beforeAutospacing="0" w:after="150" w:afterAutospacing="0"/>
        <w:rPr/>
      </w:pPr>
      <w:r>
        <w:t>4.</w:t>
      </w:r>
      <w:r>
        <w:rPr>
          <w:lang w:val="fr-FR"/>
        </w:rPr>
        <w:t>7</w:t>
      </w:r>
      <w:r>
        <w:t xml:space="preserve"> Facturation et paiement</w:t>
      </w:r>
    </w:p>
    <w:p w14:paraId="00000079">
      <w:pPr>
        <w:spacing w:before="100" w:beforeAutospacing="0" w:after="100" w:afterAutospacing="0"/>
        <w:jc w:val="center"/>
        <w:rPr/>
      </w:pPr>
      <w:r>
        <w:rPr/>
        <w:drawing xmlns:mc="http://schemas.openxmlformats.org/markup-compatibility/2006">
          <wp:inline distT="0" distB="0" distL="118872" distR="118872">
            <wp:extent cx="4572000" cy="2095500"/>
            <wp:effectExtent l="0" t="0" r="0" b="0"/>
            <wp:docPr id="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55"/>
                    <a:srcRect/>
                    <a:stretch>
                      <a:fillRect/>
                    </a:stretch>
                  </pic:blipFill>
                  <pic:spPr>
                    <a:xfrm>
                      <a:off x="0" y="0"/>
                      <a:ext cx="4572000" cy="2095500"/>
                    </a:xfrm>
                    <a:prstGeom prst="rect">
                      <a:avLst/>
                    </a:prstGeom>
                  </pic:spPr>
                </pic:pic>
              </a:graphicData>
            </a:graphic>
          </wp:inline>
        </w:drawing>
      </w:r>
    </w:p>
    <w:p w14:paraId="0000007A">
      <w:pPr>
        <w:spacing w:beforeAutospacing="0" w:after="300" w:afterAutospacing="0"/>
        <w:jc w:val="center"/>
        <w:rPr/>
      </w:pPr>
      <w:r>
        <w:rPr>
          <w:i/>
          <w:iCs/>
          <w:color w:val="555555"/>
          <w:sz w:val="18"/>
          <w:szCs w:val="18"/>
        </w:rPr>
        <w:t>Figure 10 — Taux de churn selon la facturation et le mode de paiement</w:t>
      </w:r>
    </w:p>
    <w:p w14:paraId="0000007B">
      <w:pPr>
        <w:spacing w:beforeAutospacing="0" w:after="160" w:afterAutospacing="0"/>
        <w:rPr/>
      </w:pPr>
      <w:r>
        <w:t>Le chèque électronique se distingue avec le taux de churn le plus élevé (35,6 %), contre 20,9 % pour le prélèvement automatique par carte de crédit.</w:t>
      </w:r>
    </w:p>
    <w:p w14:paraId="0000007C">
      <w:pPr>
        <w:pStyle w:val="Heading2"/>
        <w:spacing w:before="300" w:beforeAutospacing="0" w:after="150" w:afterAutospacing="0"/>
        <w:rPr/>
      </w:pPr>
      <w:r>
        <w:t>4.</w:t>
      </w:r>
      <w:r>
        <w:rPr>
          <w:lang w:val="fr-FR"/>
        </w:rPr>
        <w:t>8</w:t>
      </w:r>
      <w:r>
        <w:t xml:space="preserve"> Croisement ancienneté × charges mensuelles</w:t>
      </w:r>
    </w:p>
    <w:p w14:paraId="0000007D">
      <w:pPr>
        <w:spacing w:before="100" w:beforeAutospacing="0" w:after="100" w:afterAutospacing="0"/>
        <w:jc w:val="center"/>
        <w:rPr/>
      </w:pPr>
      <w:r>
        <w:rPr/>
        <w:drawing xmlns:mc="http://schemas.openxmlformats.org/markup-compatibility/2006">
          <wp:inline distT="0" distB="0" distL="118872" distR="118872">
            <wp:extent cx="4000500" cy="2476500"/>
            <wp:effectExtent l="0" t="0" r="0" b="0"/>
            <wp:docPr id="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56"/>
                    <a:srcRect/>
                    <a:stretch>
                      <a:fillRect/>
                    </a:stretch>
                  </pic:blipFill>
                  <pic:spPr>
                    <a:xfrm>
                      <a:off x="0" y="0"/>
                      <a:ext cx="4000500" cy="2476500"/>
                    </a:xfrm>
                    <a:prstGeom prst="rect">
                      <a:avLst/>
                    </a:prstGeom>
                  </pic:spPr>
                </pic:pic>
              </a:graphicData>
            </a:graphic>
          </wp:inline>
        </w:drawing>
      </w:r>
    </w:p>
    <w:p w14:paraId="0000007E">
      <w:pPr>
        <w:spacing w:beforeAutospacing="0" w:after="300" w:afterAutospacing="0"/>
        <w:jc w:val="center"/>
        <w:rPr/>
      </w:pPr>
      <w:r>
        <w:rPr>
          <w:i/>
          <w:iCs/>
          <w:color w:val="555555"/>
          <w:sz w:val="18"/>
          <w:szCs w:val="18"/>
        </w:rPr>
        <w:t>Figure 11 — Taux de churn selon ancienneté et charges mensuelles</w:t>
      </w:r>
    </w:p>
    <w:p w14:paraId="0000007F">
      <w:pPr>
        <w:spacing w:beforeAutospacing="0" w:after="160" w:afterAutospacing="0"/>
        <w:rPr/>
      </w:pPr>
      <w:r>
        <w:t>La zone à risque maximal combine une faible ancienneté et des charges mensuelles élevées — la priorité de surveillance pour les actions de rétention.</w:t>
      </w:r>
    </w:p>
    <w:p w14:paraId="00000080">
      <w:pPr>
        <w:pStyle w:val="Heading2"/>
        <w:spacing w:before="300" w:beforeAutospacing="0" w:after="150" w:afterAutospacing="0"/>
        <w:rPr/>
      </w:pPr>
    </w:p>
    <w:p w14:paraId="00000081">
      <w:pPr>
        <w:pStyle w:val="Heading2"/>
        <w:spacing w:before="300" w:beforeAutospacing="0" w:after="150" w:afterAutospacing="0"/>
        <w:rPr/>
      </w:pPr>
    </w:p>
    <w:p w14:paraId="00000082">
      <w:pPr>
        <w:pStyle w:val="Heading2"/>
        <w:spacing w:before="300" w:beforeAutospacing="0" w:after="150" w:afterAutospacing="0"/>
        <w:rPr/>
      </w:pPr>
    </w:p>
    <w:p w14:paraId="00000083">
      <w:pPr>
        <w:pStyle w:val="Heading2"/>
        <w:spacing w:before="300" w:beforeAutospacing="0" w:after="150" w:afterAutospacing="0"/>
        <w:rPr/>
      </w:pPr>
    </w:p>
    <w:p w14:paraId="00000084">
      <w:pPr>
        <w:pStyle w:val="Heading2"/>
        <w:spacing w:before="300" w:beforeAutospacing="0" w:after="150" w:afterAutospacing="0"/>
        <w:rPr/>
      </w:pPr>
    </w:p>
    <w:p w14:paraId="00000085">
      <w:pPr>
        <w:pStyle w:val="Heading2"/>
        <w:spacing w:before="300" w:beforeAutospacing="0" w:after="150" w:afterAutospacing="0"/>
        <w:rPr/>
      </w:pPr>
      <w:r>
        <w:t>4.</w:t>
      </w:r>
      <w:r>
        <w:rPr>
          <w:lang w:val="fr-FR"/>
        </w:rPr>
        <w:t>9</w:t>
      </w:r>
      <w:r>
        <w:t xml:space="preserve"> Comparaison synthétique parti / resté</w:t>
      </w:r>
    </w:p>
    <w:p w14:paraId="00000086">
      <w:pPr>
        <w:spacing w:before="100" w:beforeAutospacing="0" w:after="100" w:afterAutospacing="0"/>
        <w:jc w:val="center"/>
        <w:rPr/>
      </w:pPr>
      <w:r>
        <w:rPr/>
        <w:drawing xmlns:mc="http://schemas.openxmlformats.org/markup-compatibility/2006">
          <wp:inline distT="0" distB="0" distL="118872" distR="118872">
            <wp:extent cx="5334000" cy="1857375"/>
            <wp:effectExtent l="0" t="0" r="0" b="0"/>
            <wp:docPr id="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57"/>
                    <a:srcRect/>
                    <a:stretch>
                      <a:fillRect/>
                    </a:stretch>
                  </pic:blipFill>
                  <pic:spPr>
                    <a:xfrm>
                      <a:off x="0" y="0"/>
                      <a:ext cx="5334000" cy="1857375"/>
                    </a:xfrm>
                    <a:prstGeom prst="rect">
                      <a:avLst/>
                    </a:prstGeom>
                  </pic:spPr>
                </pic:pic>
              </a:graphicData>
            </a:graphic>
          </wp:inline>
        </w:drawing>
      </w:r>
    </w:p>
    <w:p w14:paraId="00000087">
      <w:pPr>
        <w:spacing w:beforeAutospacing="0" w:after="300" w:afterAutospacing="0"/>
        <w:jc w:val="center"/>
        <w:rPr/>
      </w:pPr>
      <w:r>
        <w:rPr>
          <w:i/>
          <w:iCs/>
          <w:color w:val="555555"/>
          <w:sz w:val="18"/>
          <w:szCs w:val="18"/>
        </w:rPr>
        <w:t>Figure 12 — Comparaison des moyennes numériques entre clients partis et restés</w:t>
      </w:r>
    </w:p>
    <w:p w14:paraId="00000088">
      <w:pPr>
        <w:pStyle w:val="Heading2"/>
        <w:spacing w:before="300" w:beforeAutospacing="0" w:after="150" w:afterAutospacing="0"/>
        <w:rPr/>
      </w:pPr>
      <w:r>
        <w:t>4.1</w:t>
      </w:r>
      <w:r>
        <w:rPr>
          <w:lang w:val="fr-FR"/>
        </w:rPr>
        <w:t>0</w:t>
      </w:r>
      <w:r>
        <w:t xml:space="preserve"> Synthèse des facteurs de risque</w:t>
      </w:r>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700"/>
        <w:gridCol w:w="2000"/>
        <w:gridCol w:w="1900"/>
        <w:gridCol w:w="1100"/>
        <w:gridCol w:w="1900"/>
        <w:gridCol w:w="1000"/>
        <w:gridCol w:w="1100"/>
      </w:tblGrid>
      <w:tr>
        <w:trPr/>
        <w:tc>
          <w:tcPr>
            <w:cnfStyle w:val="100010000000"/>
            <w:tcW w:w="700" w:type="dxa"/>
            <w:shd w:val="clear" w:fill="34495e"/>
            <w:tcMar>
              <w:top w:w="80" w:type="dxa"/>
              <w:left w:w="100" w:type="dxa"/>
              <w:bottom w:w="80" w:type="dxa"/>
              <w:right w:w="100" w:type="dxa"/>
            </w:tcMar>
            <w:vAlign w:val="center"/>
          </w:tcPr>
          <w:p w14:paraId="00000089">
            <w:r>
              <w:rPr>
                <w:b/>
                <w:bCs/>
                <w:color w:val="ffffff"/>
              </w:rPr>
              <w:t>Rang</w:t>
            </w:r>
          </w:p>
        </w:tc>
        <w:tc>
          <w:tcPr>
            <w:cnfStyle w:val="100001000000"/>
            <w:tcW w:w="2000" w:type="dxa"/>
            <w:shd w:val="clear" w:fill="34495e"/>
            <w:tcMar>
              <w:top w:w="80" w:type="dxa"/>
              <w:left w:w="100" w:type="dxa"/>
              <w:bottom w:w="80" w:type="dxa"/>
              <w:right w:w="100" w:type="dxa"/>
            </w:tcMar>
            <w:vAlign w:val="center"/>
          </w:tcPr>
          <w:p w14:paraId="0000008A">
            <w:r>
              <w:rPr>
                <w:b/>
                <w:bCs/>
                <w:color w:val="ffffff"/>
              </w:rPr>
              <w:t>Variable</w:t>
            </w:r>
          </w:p>
        </w:tc>
        <w:tc>
          <w:tcPr>
            <w:cnfStyle w:val="100010000000"/>
            <w:tcW w:w="1900" w:type="dxa"/>
            <w:shd w:val="clear" w:fill="34495e"/>
            <w:tcMar>
              <w:top w:w="80" w:type="dxa"/>
              <w:left w:w="100" w:type="dxa"/>
              <w:bottom w:w="80" w:type="dxa"/>
              <w:right w:w="100" w:type="dxa"/>
            </w:tcMar>
            <w:vAlign w:val="center"/>
          </w:tcPr>
          <w:p w14:paraId="0000008B">
            <w:r>
              <w:rPr>
                <w:b/>
                <w:bCs/>
                <w:color w:val="ffffff"/>
              </w:rPr>
              <w:t>Catégorie à risque</w:t>
            </w:r>
          </w:p>
        </w:tc>
        <w:tc>
          <w:tcPr>
            <w:cnfStyle w:val="100001000000"/>
            <w:tcW w:w="1100" w:type="dxa"/>
            <w:shd w:val="clear" w:fill="34495e"/>
            <w:tcMar>
              <w:top w:w="80" w:type="dxa"/>
              <w:left w:w="100" w:type="dxa"/>
              <w:bottom w:w="80" w:type="dxa"/>
              <w:right w:w="100" w:type="dxa"/>
            </w:tcMar>
            <w:vAlign w:val="center"/>
          </w:tcPr>
          <w:p w14:paraId="0000008C">
            <w:r>
              <w:rPr>
                <w:b/>
                <w:bCs/>
                <w:color w:val="ffffff"/>
              </w:rPr>
              <w:t>Taux max</w:t>
            </w:r>
          </w:p>
        </w:tc>
        <w:tc>
          <w:tcPr>
            <w:cnfStyle w:val="100010000000"/>
            <w:tcW w:w="1900" w:type="dxa"/>
            <w:shd w:val="clear" w:fill="34495e"/>
            <w:tcMar>
              <w:top w:w="80" w:type="dxa"/>
              <w:left w:w="100" w:type="dxa"/>
              <w:bottom w:w="80" w:type="dxa"/>
              <w:right w:w="100" w:type="dxa"/>
            </w:tcMar>
            <w:vAlign w:val="center"/>
          </w:tcPr>
          <w:p w14:paraId="0000008D">
            <w:r>
              <w:rPr>
                <w:b/>
                <w:bCs/>
                <w:color w:val="ffffff"/>
              </w:rPr>
              <w:t>Catégorie sûre</w:t>
            </w:r>
          </w:p>
        </w:tc>
        <w:tc>
          <w:tcPr>
            <w:cnfStyle w:val="100001000000"/>
            <w:tcW w:w="1000" w:type="dxa"/>
            <w:shd w:val="clear" w:fill="34495e"/>
            <w:tcMar>
              <w:top w:w="80" w:type="dxa"/>
              <w:left w:w="100" w:type="dxa"/>
              <w:bottom w:w="80" w:type="dxa"/>
              <w:right w:w="100" w:type="dxa"/>
            </w:tcMar>
            <w:vAlign w:val="center"/>
          </w:tcPr>
          <w:p w14:paraId="0000008E">
            <w:r>
              <w:rPr>
                <w:b/>
                <w:bCs/>
                <w:color w:val="ffffff"/>
              </w:rPr>
              <w:t>Taux min</w:t>
            </w:r>
          </w:p>
        </w:tc>
        <w:tc>
          <w:tcPr>
            <w:cnfStyle w:val="100010000000"/>
            <w:tcW w:w="1100" w:type="dxa"/>
            <w:shd w:val="clear" w:fill="34495e"/>
            <w:tcMar>
              <w:top w:w="80" w:type="dxa"/>
              <w:left w:w="100" w:type="dxa"/>
              <w:bottom w:w="80" w:type="dxa"/>
              <w:right w:w="100" w:type="dxa"/>
            </w:tcMar>
            <w:vAlign w:val="center"/>
          </w:tcPr>
          <w:p w14:paraId="0000008F">
            <w:r>
              <w:rPr>
                <w:b/>
                <w:bCs/>
                <w:color w:val="ffffff"/>
              </w:rPr>
              <w:t>Écart</w:t>
            </w:r>
          </w:p>
        </w:tc>
      </w:tr>
      <w:tr>
        <w:trPr/>
        <w:tc>
          <w:tcPr>
            <w:cnfStyle w:val="000010000000"/>
            <w:tcW w:w="700" w:type="dxa"/>
            <w:tcMar>
              <w:top w:w="80" w:type="dxa"/>
              <w:left w:w="100" w:type="dxa"/>
              <w:bottom w:w="80" w:type="dxa"/>
              <w:right w:w="100" w:type="dxa"/>
            </w:tcMar>
            <w:vAlign w:val="center"/>
          </w:tcPr>
          <w:p w14:paraId="00000090">
            <w:r>
              <w:t>1</w:t>
            </w:r>
          </w:p>
        </w:tc>
        <w:tc>
          <w:tcPr>
            <w:cnfStyle w:val="000001000000"/>
            <w:tcW w:w="2000" w:type="dxa"/>
            <w:tcMar>
              <w:top w:w="80" w:type="dxa"/>
              <w:left w:w="100" w:type="dxa"/>
              <w:bottom w:w="80" w:type="dxa"/>
              <w:right w:w="100" w:type="dxa"/>
            </w:tcMar>
            <w:vAlign w:val="center"/>
          </w:tcPr>
          <w:p w14:paraId="00000091">
            <w:r>
              <w:t>Contract</w:t>
            </w:r>
          </w:p>
        </w:tc>
        <w:tc>
          <w:tcPr>
            <w:cnfStyle w:val="000010000000"/>
            <w:tcW w:w="1900" w:type="dxa"/>
            <w:tcMar>
              <w:top w:w="80" w:type="dxa"/>
              <w:left w:w="100" w:type="dxa"/>
              <w:bottom w:w="80" w:type="dxa"/>
              <w:right w:w="100" w:type="dxa"/>
            </w:tcMar>
            <w:vAlign w:val="center"/>
          </w:tcPr>
          <w:p w14:paraId="00000092">
            <w:r>
              <w:t>Month-to-month</w:t>
            </w:r>
          </w:p>
        </w:tc>
        <w:tc>
          <w:tcPr>
            <w:cnfStyle w:val="000001000000"/>
            <w:tcW w:w="1100" w:type="dxa"/>
            <w:tcMar>
              <w:top w:w="80" w:type="dxa"/>
              <w:left w:w="100" w:type="dxa"/>
              <w:bottom w:w="80" w:type="dxa"/>
              <w:right w:w="100" w:type="dxa"/>
            </w:tcMar>
            <w:vAlign w:val="center"/>
          </w:tcPr>
          <w:p w14:paraId="00000093">
            <w:r>
              <w:t>38,7 %</w:t>
            </w:r>
          </w:p>
        </w:tc>
        <w:tc>
          <w:tcPr>
            <w:cnfStyle w:val="000010000000"/>
            <w:tcW w:w="1900" w:type="dxa"/>
            <w:tcMar>
              <w:top w:w="80" w:type="dxa"/>
              <w:left w:w="100" w:type="dxa"/>
              <w:bottom w:w="80" w:type="dxa"/>
              <w:right w:w="100" w:type="dxa"/>
            </w:tcMar>
            <w:vAlign w:val="center"/>
          </w:tcPr>
          <w:p w14:paraId="00000094">
            <w:r>
              <w:t>Two year</w:t>
            </w:r>
          </w:p>
        </w:tc>
        <w:tc>
          <w:tcPr>
            <w:cnfStyle w:val="000001000000"/>
            <w:tcW w:w="1000" w:type="dxa"/>
            <w:tcMar>
              <w:top w:w="80" w:type="dxa"/>
              <w:left w:w="100" w:type="dxa"/>
              <w:bottom w:w="80" w:type="dxa"/>
              <w:right w:w="100" w:type="dxa"/>
            </w:tcMar>
            <w:vAlign w:val="center"/>
          </w:tcPr>
          <w:p w14:paraId="00000095">
            <w:r>
              <w:t>9,8 %</w:t>
            </w:r>
          </w:p>
        </w:tc>
        <w:tc>
          <w:tcPr>
            <w:cnfStyle w:val="000010000000"/>
            <w:tcW w:w="1100" w:type="dxa"/>
            <w:tcMar>
              <w:top w:w="80" w:type="dxa"/>
              <w:left w:w="100" w:type="dxa"/>
              <w:bottom w:w="80" w:type="dxa"/>
              <w:right w:w="100" w:type="dxa"/>
            </w:tcMar>
            <w:vAlign w:val="center"/>
          </w:tcPr>
          <w:p w14:paraId="00000096">
            <w:r>
              <w:t>28,9 pts</w:t>
            </w:r>
          </w:p>
        </w:tc>
      </w:tr>
      <w:tr>
        <w:trPr/>
        <w:tc>
          <w:tcPr>
            <w:cnfStyle w:val="000010000000"/>
            <w:tcW w:w="700" w:type="dxa"/>
            <w:shd w:val="clear" w:fill="f2f3f4"/>
            <w:tcMar>
              <w:top w:w="80" w:type="dxa"/>
              <w:left w:w="100" w:type="dxa"/>
              <w:bottom w:w="80" w:type="dxa"/>
              <w:right w:w="100" w:type="dxa"/>
            </w:tcMar>
            <w:vAlign w:val="center"/>
          </w:tcPr>
          <w:p w14:paraId="00000097">
            <w:r>
              <w:t>2</w:t>
            </w:r>
          </w:p>
        </w:tc>
        <w:tc>
          <w:tcPr>
            <w:cnfStyle w:val="000001000000"/>
            <w:tcW w:w="2000" w:type="dxa"/>
            <w:shd w:val="clear" w:fill="f2f3f4"/>
            <w:tcMar>
              <w:top w:w="80" w:type="dxa"/>
              <w:left w:w="100" w:type="dxa"/>
              <w:bottom w:w="80" w:type="dxa"/>
              <w:right w:w="100" w:type="dxa"/>
            </w:tcMar>
            <w:vAlign w:val="center"/>
          </w:tcPr>
          <w:p w14:paraId="00000098">
            <w:r>
              <w:t>InternetService</w:t>
            </w:r>
          </w:p>
        </w:tc>
        <w:tc>
          <w:tcPr>
            <w:cnfStyle w:val="000010000000"/>
            <w:tcW w:w="1900" w:type="dxa"/>
            <w:shd w:val="clear" w:fill="f2f3f4"/>
            <w:tcMar>
              <w:top w:w="80" w:type="dxa"/>
              <w:left w:w="100" w:type="dxa"/>
              <w:bottom w:w="80" w:type="dxa"/>
              <w:right w:w="100" w:type="dxa"/>
            </w:tcMar>
            <w:vAlign w:val="center"/>
          </w:tcPr>
          <w:p w14:paraId="00000099">
            <w:r>
              <w:t>Fiber optic</w:t>
            </w:r>
          </w:p>
        </w:tc>
        <w:tc>
          <w:tcPr>
            <w:cnfStyle w:val="000001000000"/>
            <w:tcW w:w="1100" w:type="dxa"/>
            <w:shd w:val="clear" w:fill="f2f3f4"/>
            <w:tcMar>
              <w:top w:w="80" w:type="dxa"/>
              <w:left w:w="100" w:type="dxa"/>
              <w:bottom w:w="80" w:type="dxa"/>
              <w:right w:w="100" w:type="dxa"/>
            </w:tcMar>
            <w:vAlign w:val="center"/>
          </w:tcPr>
          <w:p w14:paraId="0000009A">
            <w:r>
              <w:t>38,0 %</w:t>
            </w:r>
          </w:p>
        </w:tc>
        <w:tc>
          <w:tcPr>
            <w:cnfStyle w:val="000010000000"/>
            <w:tcW w:w="1900" w:type="dxa"/>
            <w:shd w:val="clear" w:fill="f2f3f4"/>
            <w:tcMar>
              <w:top w:w="80" w:type="dxa"/>
              <w:left w:w="100" w:type="dxa"/>
              <w:bottom w:w="80" w:type="dxa"/>
              <w:right w:w="100" w:type="dxa"/>
            </w:tcMar>
            <w:vAlign w:val="center"/>
          </w:tcPr>
          <w:p w14:paraId="0000009B">
            <w:r>
              <w:t>No</w:t>
            </w:r>
          </w:p>
        </w:tc>
        <w:tc>
          <w:tcPr>
            <w:cnfStyle w:val="000001000000"/>
            <w:tcW w:w="1000" w:type="dxa"/>
            <w:shd w:val="clear" w:fill="f2f3f4"/>
            <w:tcMar>
              <w:top w:w="80" w:type="dxa"/>
              <w:left w:w="100" w:type="dxa"/>
              <w:bottom w:w="80" w:type="dxa"/>
              <w:right w:w="100" w:type="dxa"/>
            </w:tcMar>
            <w:vAlign w:val="center"/>
          </w:tcPr>
          <w:p w14:paraId="0000009C">
            <w:r>
              <w:t>10,1 %</w:t>
            </w:r>
          </w:p>
        </w:tc>
        <w:tc>
          <w:tcPr>
            <w:cnfStyle w:val="000010000000"/>
            <w:tcW w:w="1100" w:type="dxa"/>
            <w:shd w:val="clear" w:fill="f2f3f4"/>
            <w:tcMar>
              <w:top w:w="80" w:type="dxa"/>
              <w:left w:w="100" w:type="dxa"/>
              <w:bottom w:w="80" w:type="dxa"/>
              <w:right w:w="100" w:type="dxa"/>
            </w:tcMar>
            <w:vAlign w:val="center"/>
          </w:tcPr>
          <w:p w14:paraId="0000009D">
            <w:r>
              <w:t>27,9 pts</w:t>
            </w:r>
          </w:p>
        </w:tc>
      </w:tr>
      <w:tr>
        <w:trPr/>
        <w:tc>
          <w:tcPr>
            <w:cnfStyle w:val="000010000000"/>
            <w:tcW w:w="700" w:type="dxa"/>
            <w:tcMar>
              <w:top w:w="80" w:type="dxa"/>
              <w:left w:w="100" w:type="dxa"/>
              <w:bottom w:w="80" w:type="dxa"/>
              <w:right w:w="100" w:type="dxa"/>
            </w:tcMar>
            <w:vAlign w:val="center"/>
          </w:tcPr>
          <w:p w14:paraId="0000009E">
            <w:r>
              <w:t>3</w:t>
            </w:r>
          </w:p>
        </w:tc>
        <w:tc>
          <w:tcPr>
            <w:cnfStyle w:val="000001000000"/>
            <w:tcW w:w="2000" w:type="dxa"/>
            <w:tcMar>
              <w:top w:w="80" w:type="dxa"/>
              <w:left w:w="100" w:type="dxa"/>
              <w:bottom w:w="80" w:type="dxa"/>
              <w:right w:w="100" w:type="dxa"/>
            </w:tcMar>
            <w:vAlign w:val="center"/>
          </w:tcPr>
          <w:p w14:paraId="0000009F">
            <w:r>
              <w:t>TechSupport</w:t>
            </w:r>
          </w:p>
        </w:tc>
        <w:tc>
          <w:tcPr>
            <w:cnfStyle w:val="000010000000"/>
            <w:tcW w:w="1900" w:type="dxa"/>
            <w:tcMar>
              <w:top w:w="80" w:type="dxa"/>
              <w:left w:w="100" w:type="dxa"/>
              <w:bottom w:w="80" w:type="dxa"/>
              <w:right w:w="100" w:type="dxa"/>
            </w:tcMar>
            <w:vAlign w:val="center"/>
          </w:tcPr>
          <w:p w14:paraId="000000A0">
            <w:r>
              <w:t>No</w:t>
            </w:r>
          </w:p>
        </w:tc>
        <w:tc>
          <w:tcPr>
            <w:cnfStyle w:val="000001000000"/>
            <w:tcW w:w="1100" w:type="dxa"/>
            <w:tcMar>
              <w:top w:w="80" w:type="dxa"/>
              <w:left w:w="100" w:type="dxa"/>
              <w:bottom w:w="80" w:type="dxa"/>
              <w:right w:w="100" w:type="dxa"/>
            </w:tcMar>
            <w:vAlign w:val="center"/>
          </w:tcPr>
          <w:p w14:paraId="000000A1">
            <w:r>
              <w:t>34,3 %</w:t>
            </w:r>
          </w:p>
        </w:tc>
        <w:tc>
          <w:tcPr>
            <w:cnfStyle w:val="000010000000"/>
            <w:tcW w:w="1900" w:type="dxa"/>
            <w:tcMar>
              <w:top w:w="80" w:type="dxa"/>
              <w:left w:w="100" w:type="dxa"/>
              <w:bottom w:w="80" w:type="dxa"/>
              <w:right w:w="100" w:type="dxa"/>
            </w:tcMar>
            <w:vAlign w:val="center"/>
          </w:tcPr>
          <w:p w14:paraId="000000A2">
            <w:r>
              <w:t>No internet service</w:t>
            </w:r>
          </w:p>
        </w:tc>
        <w:tc>
          <w:tcPr>
            <w:cnfStyle w:val="000001000000"/>
            <w:tcW w:w="1000" w:type="dxa"/>
            <w:tcMar>
              <w:top w:w="80" w:type="dxa"/>
              <w:left w:w="100" w:type="dxa"/>
              <w:bottom w:w="80" w:type="dxa"/>
              <w:right w:w="100" w:type="dxa"/>
            </w:tcMar>
            <w:vAlign w:val="center"/>
          </w:tcPr>
          <w:p w14:paraId="000000A3">
            <w:r>
              <w:t>10,1 %</w:t>
            </w:r>
          </w:p>
        </w:tc>
        <w:tc>
          <w:tcPr>
            <w:cnfStyle w:val="000010000000"/>
            <w:tcW w:w="1100" w:type="dxa"/>
            <w:tcMar>
              <w:top w:w="80" w:type="dxa"/>
              <w:left w:w="100" w:type="dxa"/>
              <w:bottom w:w="80" w:type="dxa"/>
              <w:right w:w="100" w:type="dxa"/>
            </w:tcMar>
            <w:vAlign w:val="center"/>
          </w:tcPr>
          <w:p w14:paraId="000000A4">
            <w:r>
              <w:t>24,2 pts</w:t>
            </w:r>
          </w:p>
        </w:tc>
      </w:tr>
      <w:tr>
        <w:trPr/>
        <w:tc>
          <w:tcPr>
            <w:cnfStyle w:val="000010000000"/>
            <w:tcW w:w="700" w:type="dxa"/>
            <w:shd w:val="clear" w:fill="f2f3f4"/>
            <w:tcMar>
              <w:top w:w="80" w:type="dxa"/>
              <w:left w:w="100" w:type="dxa"/>
              <w:bottom w:w="80" w:type="dxa"/>
              <w:right w:w="100" w:type="dxa"/>
            </w:tcMar>
            <w:vAlign w:val="center"/>
          </w:tcPr>
          <w:p w14:paraId="000000A5">
            <w:r>
              <w:t>4</w:t>
            </w:r>
          </w:p>
        </w:tc>
        <w:tc>
          <w:tcPr>
            <w:cnfStyle w:val="000001000000"/>
            <w:tcW w:w="2000" w:type="dxa"/>
            <w:shd w:val="clear" w:fill="f2f3f4"/>
            <w:tcMar>
              <w:top w:w="80" w:type="dxa"/>
              <w:left w:w="100" w:type="dxa"/>
              <w:bottom w:w="80" w:type="dxa"/>
              <w:right w:w="100" w:type="dxa"/>
            </w:tcMar>
            <w:vAlign w:val="center"/>
          </w:tcPr>
          <w:p w14:paraId="000000A6">
            <w:r>
              <w:t>OnlineSecurity</w:t>
            </w:r>
          </w:p>
        </w:tc>
        <w:tc>
          <w:tcPr>
            <w:cnfStyle w:val="000010000000"/>
            <w:tcW w:w="1900" w:type="dxa"/>
            <w:shd w:val="clear" w:fill="f2f3f4"/>
            <w:tcMar>
              <w:top w:w="80" w:type="dxa"/>
              <w:left w:w="100" w:type="dxa"/>
              <w:bottom w:w="80" w:type="dxa"/>
              <w:right w:w="100" w:type="dxa"/>
            </w:tcMar>
            <w:vAlign w:val="center"/>
          </w:tcPr>
          <w:p w14:paraId="000000A7">
            <w:r>
              <w:t>No</w:t>
            </w:r>
          </w:p>
        </w:tc>
        <w:tc>
          <w:tcPr>
            <w:cnfStyle w:val="000001000000"/>
            <w:tcW w:w="1100" w:type="dxa"/>
            <w:shd w:val="clear" w:fill="f2f3f4"/>
            <w:tcMar>
              <w:top w:w="80" w:type="dxa"/>
              <w:left w:w="100" w:type="dxa"/>
              <w:bottom w:w="80" w:type="dxa"/>
              <w:right w:w="100" w:type="dxa"/>
            </w:tcMar>
            <w:vAlign w:val="center"/>
          </w:tcPr>
          <w:p w14:paraId="000000A8">
            <w:r>
              <w:t>34,1 %</w:t>
            </w:r>
          </w:p>
        </w:tc>
        <w:tc>
          <w:tcPr>
            <w:cnfStyle w:val="000010000000"/>
            <w:tcW w:w="1900" w:type="dxa"/>
            <w:shd w:val="clear" w:fill="f2f3f4"/>
            <w:tcMar>
              <w:top w:w="80" w:type="dxa"/>
              <w:left w:w="100" w:type="dxa"/>
              <w:bottom w:w="80" w:type="dxa"/>
              <w:right w:w="100" w:type="dxa"/>
            </w:tcMar>
            <w:vAlign w:val="center"/>
          </w:tcPr>
          <w:p w14:paraId="000000A9">
            <w:r>
              <w:t>No internet service</w:t>
            </w:r>
          </w:p>
        </w:tc>
        <w:tc>
          <w:tcPr>
            <w:cnfStyle w:val="000001000000"/>
            <w:tcW w:w="1000" w:type="dxa"/>
            <w:shd w:val="clear" w:fill="f2f3f4"/>
            <w:tcMar>
              <w:top w:w="80" w:type="dxa"/>
              <w:left w:w="100" w:type="dxa"/>
              <w:bottom w:w="80" w:type="dxa"/>
              <w:right w:w="100" w:type="dxa"/>
            </w:tcMar>
            <w:vAlign w:val="center"/>
          </w:tcPr>
          <w:p w14:paraId="000000AA">
            <w:r>
              <w:t>10,1 %</w:t>
            </w:r>
          </w:p>
        </w:tc>
        <w:tc>
          <w:tcPr>
            <w:cnfStyle w:val="000010000000"/>
            <w:tcW w:w="1100" w:type="dxa"/>
            <w:shd w:val="clear" w:fill="f2f3f4"/>
            <w:tcMar>
              <w:top w:w="80" w:type="dxa"/>
              <w:left w:w="100" w:type="dxa"/>
              <w:bottom w:w="80" w:type="dxa"/>
              <w:right w:w="100" w:type="dxa"/>
            </w:tcMar>
            <w:vAlign w:val="center"/>
          </w:tcPr>
          <w:p w14:paraId="000000AB">
            <w:r>
              <w:t>24,0 pts</w:t>
            </w:r>
          </w:p>
        </w:tc>
      </w:tr>
      <w:tr>
        <w:trPr/>
        <w:tc>
          <w:tcPr>
            <w:cnfStyle w:val="000010000000"/>
            <w:tcW w:w="700" w:type="dxa"/>
            <w:tcMar>
              <w:top w:w="80" w:type="dxa"/>
              <w:left w:w="100" w:type="dxa"/>
              <w:bottom w:w="80" w:type="dxa"/>
              <w:right w:w="100" w:type="dxa"/>
            </w:tcMar>
            <w:vAlign w:val="center"/>
          </w:tcPr>
          <w:p w14:paraId="000000AC">
            <w:r>
              <w:t>5</w:t>
            </w:r>
          </w:p>
        </w:tc>
        <w:tc>
          <w:tcPr>
            <w:cnfStyle w:val="000001000000"/>
            <w:tcW w:w="2000" w:type="dxa"/>
            <w:tcMar>
              <w:top w:w="80" w:type="dxa"/>
              <w:left w:w="100" w:type="dxa"/>
              <w:bottom w:w="80" w:type="dxa"/>
              <w:right w:w="100" w:type="dxa"/>
            </w:tcMar>
            <w:vAlign w:val="center"/>
          </w:tcPr>
          <w:p w14:paraId="000000AD">
            <w:r>
              <w:t>PaymentMethod</w:t>
            </w:r>
          </w:p>
        </w:tc>
        <w:tc>
          <w:tcPr>
            <w:cnfStyle w:val="000010000000"/>
            <w:tcW w:w="1900" w:type="dxa"/>
            <w:tcMar>
              <w:top w:w="80" w:type="dxa"/>
              <w:left w:w="100" w:type="dxa"/>
              <w:bottom w:w="80" w:type="dxa"/>
              <w:right w:w="100" w:type="dxa"/>
            </w:tcMar>
            <w:vAlign w:val="center"/>
          </w:tcPr>
          <w:p w14:paraId="000000AE">
            <w:r>
              <w:t>Electronic check</w:t>
            </w:r>
          </w:p>
        </w:tc>
        <w:tc>
          <w:tcPr>
            <w:cnfStyle w:val="000001000000"/>
            <w:tcW w:w="1100" w:type="dxa"/>
            <w:tcMar>
              <w:top w:w="80" w:type="dxa"/>
              <w:left w:w="100" w:type="dxa"/>
              <w:bottom w:w="80" w:type="dxa"/>
              <w:right w:w="100" w:type="dxa"/>
            </w:tcMar>
            <w:vAlign w:val="center"/>
          </w:tcPr>
          <w:p w14:paraId="000000AF">
            <w:r>
              <w:t>35,6 %</w:t>
            </w:r>
          </w:p>
        </w:tc>
        <w:tc>
          <w:tcPr>
            <w:cnfStyle w:val="000010000000"/>
            <w:tcW w:w="1900" w:type="dxa"/>
            <w:tcMar>
              <w:top w:w="80" w:type="dxa"/>
              <w:left w:w="100" w:type="dxa"/>
              <w:bottom w:w="80" w:type="dxa"/>
              <w:right w:w="100" w:type="dxa"/>
            </w:tcMar>
            <w:vAlign w:val="center"/>
          </w:tcPr>
          <w:p w14:paraId="000000B0">
            <w:r>
              <w:t>Credit card (auto)</w:t>
            </w:r>
          </w:p>
        </w:tc>
        <w:tc>
          <w:tcPr>
            <w:cnfStyle w:val="000001000000"/>
            <w:tcW w:w="1000" w:type="dxa"/>
            <w:tcMar>
              <w:top w:w="80" w:type="dxa"/>
              <w:left w:w="100" w:type="dxa"/>
              <w:bottom w:w="80" w:type="dxa"/>
              <w:right w:w="100" w:type="dxa"/>
            </w:tcMar>
            <w:vAlign w:val="center"/>
          </w:tcPr>
          <w:p w14:paraId="000000B1">
            <w:r>
              <w:t>20,9 %</w:t>
            </w:r>
          </w:p>
        </w:tc>
        <w:tc>
          <w:tcPr>
            <w:cnfStyle w:val="000010000000"/>
            <w:tcW w:w="1100" w:type="dxa"/>
            <w:tcMar>
              <w:top w:w="80" w:type="dxa"/>
              <w:left w:w="100" w:type="dxa"/>
              <w:bottom w:w="80" w:type="dxa"/>
              <w:right w:w="100" w:type="dxa"/>
            </w:tcMar>
            <w:vAlign w:val="center"/>
          </w:tcPr>
          <w:p w14:paraId="000000B2">
            <w:r>
              <w:t>14,7 pts</w:t>
            </w:r>
          </w:p>
        </w:tc>
      </w:tr>
      <w:tr>
        <w:trPr/>
        <w:tc>
          <w:tcPr>
            <w:cnfStyle w:val="000010000000"/>
            <w:tcW w:w="700" w:type="dxa"/>
            <w:shd w:val="clear" w:fill="f2f3f4"/>
            <w:tcMar>
              <w:top w:w="80" w:type="dxa"/>
              <w:left w:w="100" w:type="dxa"/>
              <w:bottom w:w="80" w:type="dxa"/>
              <w:right w:w="100" w:type="dxa"/>
            </w:tcMar>
            <w:vAlign w:val="center"/>
          </w:tcPr>
          <w:p w14:paraId="000000B3">
            <w:r>
              <w:t>6</w:t>
            </w:r>
          </w:p>
        </w:tc>
        <w:tc>
          <w:tcPr>
            <w:cnfStyle w:val="000001000000"/>
            <w:tcW w:w="2000" w:type="dxa"/>
            <w:shd w:val="clear" w:fill="f2f3f4"/>
            <w:tcMar>
              <w:top w:w="80" w:type="dxa"/>
              <w:left w:w="100" w:type="dxa"/>
              <w:bottom w:w="80" w:type="dxa"/>
              <w:right w:w="100" w:type="dxa"/>
            </w:tcMar>
            <w:vAlign w:val="center"/>
          </w:tcPr>
          <w:p w14:paraId="000000B4">
            <w:r>
              <w:t>SeniorCitizen</w:t>
            </w:r>
          </w:p>
        </w:tc>
        <w:tc>
          <w:tcPr>
            <w:cnfStyle w:val="000010000000"/>
            <w:tcW w:w="1900" w:type="dxa"/>
            <w:shd w:val="clear" w:fill="f2f3f4"/>
            <w:tcMar>
              <w:top w:w="80" w:type="dxa"/>
              <w:left w:w="100" w:type="dxa"/>
              <w:bottom w:w="80" w:type="dxa"/>
              <w:right w:w="100" w:type="dxa"/>
            </w:tcMar>
            <w:vAlign w:val="center"/>
          </w:tcPr>
          <w:p w14:paraId="000000B5">
            <w:r>
              <w:t>Oui</w:t>
            </w:r>
          </w:p>
        </w:tc>
        <w:tc>
          <w:tcPr>
            <w:cnfStyle w:val="000001000000"/>
            <w:tcW w:w="1100" w:type="dxa"/>
            <w:shd w:val="clear" w:fill="f2f3f4"/>
            <w:tcMar>
              <w:top w:w="80" w:type="dxa"/>
              <w:left w:w="100" w:type="dxa"/>
              <w:bottom w:w="80" w:type="dxa"/>
              <w:right w:w="100" w:type="dxa"/>
            </w:tcMar>
            <w:vAlign w:val="center"/>
          </w:tcPr>
          <w:p w14:paraId="000000B6">
            <w:r>
              <w:t>35,6 %</w:t>
            </w:r>
          </w:p>
        </w:tc>
        <w:tc>
          <w:tcPr>
            <w:cnfStyle w:val="000010000000"/>
            <w:tcW w:w="1900" w:type="dxa"/>
            <w:shd w:val="clear" w:fill="f2f3f4"/>
            <w:tcMar>
              <w:top w:w="80" w:type="dxa"/>
              <w:left w:w="100" w:type="dxa"/>
              <w:bottom w:w="80" w:type="dxa"/>
              <w:right w:w="100" w:type="dxa"/>
            </w:tcMar>
            <w:vAlign w:val="center"/>
          </w:tcPr>
          <w:p w14:paraId="000000B7">
            <w:r>
              <w:t>Non</w:t>
            </w:r>
          </w:p>
        </w:tc>
        <w:tc>
          <w:tcPr>
            <w:cnfStyle w:val="000001000000"/>
            <w:tcW w:w="1000" w:type="dxa"/>
            <w:shd w:val="clear" w:fill="f2f3f4"/>
            <w:tcMar>
              <w:top w:w="80" w:type="dxa"/>
              <w:left w:w="100" w:type="dxa"/>
              <w:bottom w:w="80" w:type="dxa"/>
              <w:right w:w="100" w:type="dxa"/>
            </w:tcMar>
            <w:vAlign w:val="center"/>
          </w:tcPr>
          <w:p w14:paraId="000000B8">
            <w:r>
              <w:t>24,8 %</w:t>
            </w:r>
          </w:p>
        </w:tc>
        <w:tc>
          <w:tcPr>
            <w:cnfStyle w:val="000010000000"/>
            <w:tcW w:w="1100" w:type="dxa"/>
            <w:shd w:val="clear" w:fill="f2f3f4"/>
            <w:tcMar>
              <w:top w:w="80" w:type="dxa"/>
              <w:left w:w="100" w:type="dxa"/>
              <w:bottom w:w="80" w:type="dxa"/>
              <w:right w:w="100" w:type="dxa"/>
            </w:tcMar>
            <w:vAlign w:val="center"/>
          </w:tcPr>
          <w:p w14:paraId="000000B9">
            <w:r>
              <w:t>10,8 pts</w:t>
            </w:r>
          </w:p>
        </w:tc>
      </w:tr>
      <w:tr>
        <w:trPr/>
        <w:tc>
          <w:tcPr>
            <w:cnfStyle w:val="000010000000"/>
            <w:tcW w:w="700" w:type="dxa"/>
            <w:tcMar>
              <w:top w:w="80" w:type="dxa"/>
              <w:left w:w="100" w:type="dxa"/>
              <w:bottom w:w="80" w:type="dxa"/>
              <w:right w:w="100" w:type="dxa"/>
            </w:tcMar>
            <w:vAlign w:val="center"/>
          </w:tcPr>
          <w:p w14:paraId="000000BA">
            <w:r>
              <w:t>7</w:t>
            </w:r>
          </w:p>
        </w:tc>
        <w:tc>
          <w:tcPr>
            <w:cnfStyle w:val="000001000000"/>
            <w:tcW w:w="2000" w:type="dxa"/>
            <w:tcMar>
              <w:top w:w="80" w:type="dxa"/>
              <w:left w:w="100" w:type="dxa"/>
              <w:bottom w:w="80" w:type="dxa"/>
              <w:right w:w="100" w:type="dxa"/>
            </w:tcMar>
            <w:vAlign w:val="center"/>
          </w:tcPr>
          <w:p w14:paraId="000000BB">
            <w:r>
              <w:t>Partner</w:t>
            </w:r>
          </w:p>
        </w:tc>
        <w:tc>
          <w:tcPr>
            <w:cnfStyle w:val="000010000000"/>
            <w:tcW w:w="1900" w:type="dxa"/>
            <w:tcMar>
              <w:top w:w="80" w:type="dxa"/>
              <w:left w:w="100" w:type="dxa"/>
              <w:bottom w:w="80" w:type="dxa"/>
              <w:right w:w="100" w:type="dxa"/>
            </w:tcMar>
            <w:vAlign w:val="center"/>
          </w:tcPr>
          <w:p w14:paraId="000000BC">
            <w:r>
              <w:t>No</w:t>
            </w:r>
          </w:p>
        </w:tc>
        <w:tc>
          <w:tcPr>
            <w:cnfStyle w:val="000001000000"/>
            <w:tcW w:w="1100" w:type="dxa"/>
            <w:tcMar>
              <w:top w:w="80" w:type="dxa"/>
              <w:left w:w="100" w:type="dxa"/>
              <w:bottom w:w="80" w:type="dxa"/>
              <w:right w:w="100" w:type="dxa"/>
            </w:tcMar>
            <w:vAlign w:val="center"/>
          </w:tcPr>
          <w:p w14:paraId="000000BD">
            <w:r>
              <w:t>30,2 %</w:t>
            </w:r>
          </w:p>
        </w:tc>
        <w:tc>
          <w:tcPr>
            <w:cnfStyle w:val="000010000000"/>
            <w:tcW w:w="1900" w:type="dxa"/>
            <w:tcMar>
              <w:top w:w="80" w:type="dxa"/>
              <w:left w:w="100" w:type="dxa"/>
              <w:bottom w:w="80" w:type="dxa"/>
              <w:right w:w="100" w:type="dxa"/>
            </w:tcMar>
            <w:vAlign w:val="center"/>
          </w:tcPr>
          <w:p w14:paraId="000000BE">
            <w:r>
              <w:t>Yes</w:t>
            </w:r>
          </w:p>
        </w:tc>
        <w:tc>
          <w:tcPr>
            <w:cnfStyle w:val="000001000000"/>
            <w:tcW w:w="1000" w:type="dxa"/>
            <w:tcMar>
              <w:top w:w="80" w:type="dxa"/>
              <w:left w:w="100" w:type="dxa"/>
              <w:bottom w:w="80" w:type="dxa"/>
              <w:right w:w="100" w:type="dxa"/>
            </w:tcMar>
            <w:vAlign w:val="center"/>
          </w:tcPr>
          <w:p w14:paraId="000000BF">
            <w:r>
              <w:t>22,6 %</w:t>
            </w:r>
          </w:p>
        </w:tc>
        <w:tc>
          <w:tcPr>
            <w:cnfStyle w:val="000010000000"/>
            <w:tcW w:w="1100" w:type="dxa"/>
            <w:tcMar>
              <w:top w:w="80" w:type="dxa"/>
              <w:left w:w="100" w:type="dxa"/>
              <w:bottom w:w="80" w:type="dxa"/>
              <w:right w:w="100" w:type="dxa"/>
            </w:tcMar>
            <w:vAlign w:val="center"/>
          </w:tcPr>
          <w:p w14:paraId="000000C0">
            <w:r>
              <w:t>7,6 pts</w:t>
            </w:r>
          </w:p>
        </w:tc>
      </w:tr>
      <w:tr>
        <w:trPr/>
        <w:tc>
          <w:tcPr>
            <w:cnfStyle w:val="000010000000"/>
            <w:tcW w:w="700" w:type="dxa"/>
            <w:shd w:val="clear" w:fill="f2f3f4"/>
            <w:tcMar>
              <w:top w:w="80" w:type="dxa"/>
              <w:left w:w="100" w:type="dxa"/>
              <w:bottom w:w="80" w:type="dxa"/>
              <w:right w:w="100" w:type="dxa"/>
            </w:tcMar>
            <w:vAlign w:val="center"/>
          </w:tcPr>
          <w:p w14:paraId="000000C1">
            <w:r>
              <w:t>8</w:t>
            </w:r>
          </w:p>
        </w:tc>
        <w:tc>
          <w:tcPr>
            <w:cnfStyle w:val="000001000000"/>
            <w:tcW w:w="2000" w:type="dxa"/>
            <w:shd w:val="clear" w:fill="f2f3f4"/>
            <w:tcMar>
              <w:top w:w="80" w:type="dxa"/>
              <w:left w:w="100" w:type="dxa"/>
              <w:bottom w:w="80" w:type="dxa"/>
              <w:right w:w="100" w:type="dxa"/>
            </w:tcMar>
            <w:vAlign w:val="center"/>
          </w:tcPr>
          <w:p w14:paraId="000000C2">
            <w:r>
              <w:t>Dependents</w:t>
            </w:r>
          </w:p>
        </w:tc>
        <w:tc>
          <w:tcPr>
            <w:cnfStyle w:val="000010000000"/>
            <w:tcW w:w="1900" w:type="dxa"/>
            <w:shd w:val="clear" w:fill="f2f3f4"/>
            <w:tcMar>
              <w:top w:w="80" w:type="dxa"/>
              <w:left w:w="100" w:type="dxa"/>
              <w:bottom w:w="80" w:type="dxa"/>
              <w:right w:w="100" w:type="dxa"/>
            </w:tcMar>
            <w:vAlign w:val="center"/>
          </w:tcPr>
          <w:p w14:paraId="000000C3">
            <w:r>
              <w:t>No</w:t>
            </w:r>
          </w:p>
        </w:tc>
        <w:tc>
          <w:tcPr>
            <w:cnfStyle w:val="000001000000"/>
            <w:tcW w:w="1100" w:type="dxa"/>
            <w:shd w:val="clear" w:fill="f2f3f4"/>
            <w:tcMar>
              <w:top w:w="80" w:type="dxa"/>
              <w:left w:w="100" w:type="dxa"/>
              <w:bottom w:w="80" w:type="dxa"/>
              <w:right w:w="100" w:type="dxa"/>
            </w:tcMar>
            <w:vAlign w:val="center"/>
          </w:tcPr>
          <w:p w14:paraId="000000C4">
            <w:r>
              <w:t>28,0 %</w:t>
            </w:r>
          </w:p>
        </w:tc>
        <w:tc>
          <w:tcPr>
            <w:cnfStyle w:val="000010000000"/>
            <w:tcW w:w="1900" w:type="dxa"/>
            <w:shd w:val="clear" w:fill="f2f3f4"/>
            <w:tcMar>
              <w:top w:w="80" w:type="dxa"/>
              <w:left w:w="100" w:type="dxa"/>
              <w:bottom w:w="80" w:type="dxa"/>
              <w:right w:w="100" w:type="dxa"/>
            </w:tcMar>
            <w:vAlign w:val="center"/>
          </w:tcPr>
          <w:p w14:paraId="000000C5">
            <w:r>
              <w:t>Yes</w:t>
            </w:r>
          </w:p>
        </w:tc>
        <w:tc>
          <w:tcPr>
            <w:cnfStyle w:val="000001000000"/>
            <w:tcW w:w="1000" w:type="dxa"/>
            <w:shd w:val="clear" w:fill="f2f3f4"/>
            <w:tcMar>
              <w:top w:w="80" w:type="dxa"/>
              <w:left w:w="100" w:type="dxa"/>
              <w:bottom w:w="80" w:type="dxa"/>
              <w:right w:w="100" w:type="dxa"/>
            </w:tcMar>
            <w:vAlign w:val="center"/>
          </w:tcPr>
          <w:p w14:paraId="000000C6">
            <w:r>
              <w:t>23,0 %</w:t>
            </w:r>
          </w:p>
        </w:tc>
        <w:tc>
          <w:tcPr>
            <w:cnfStyle w:val="000010000000"/>
            <w:tcW w:w="1100" w:type="dxa"/>
            <w:shd w:val="clear" w:fill="f2f3f4"/>
            <w:tcMar>
              <w:top w:w="80" w:type="dxa"/>
              <w:left w:w="100" w:type="dxa"/>
              <w:bottom w:w="80" w:type="dxa"/>
              <w:right w:w="100" w:type="dxa"/>
            </w:tcMar>
            <w:vAlign w:val="center"/>
          </w:tcPr>
          <w:p w14:paraId="000000C7">
            <w:r>
              <w:t>5,0 pts</w:t>
            </w:r>
          </w:p>
        </w:tc>
      </w:tr>
    </w:tbl>
    <w:p w14:paraId="000000C8">
      <w:pPr>
        <w:spacing w:beforeAutospacing="0" w:after="300" w:afterAutospacing="0"/>
        <w:jc w:val="center"/>
        <w:rPr>
          <w:i/>
          <w:iCs/>
          <w:color w:val="555555"/>
          <w:sz w:val="18"/>
          <w:szCs w:val="18"/>
        </w:rPr>
      </w:pPr>
    </w:p>
    <w:p w14:paraId="000000C9">
      <w:pPr>
        <w:spacing w:beforeAutospacing="0" w:after="300" w:afterAutospacing="0"/>
        <w:jc w:val="center"/>
        <w:rPr/>
      </w:pPr>
      <w:r>
        <w:rPr>
          <w:i/>
          <w:iCs/>
          <w:color w:val="555555"/>
          <w:sz w:val="18"/>
          <w:szCs w:val="18"/>
        </w:rPr>
        <w:t>Tableau 4 — Classement des facteurs de risque par écart de taux de churn, trié par écart décroissant</w:t>
      </w:r>
    </w:p>
    <w:p w14:paraId="000000CA">
      <w:pPr>
        <w:spacing w:beforeAutospacing="0" w:after="160" w:afterAutospacing="0"/>
        <w:rPr/>
      </w:pPr>
      <w:r>
        <w:t>Ce classement, purement descriptif (analyse univariée), ne tient pas compte des interactions entre variables. La section 6 (modélisation) mesure l'importance de chaque variable toutes choses égales par ailleurs, via l'importance des variables du Random Forest.</w:t>
      </w:r>
    </w:p>
    <w:p w14:paraId="000000CB">
      <w:pPr>
        <w:pStyle w:val="Heading1"/>
        <w:spacing w:before="400" w:beforeAutospacing="0" w:after="200" w:afterAutospacing="0"/>
        <w:rPr/>
      </w:pPr>
      <w:r>
        <w:t>5. Encodage, séparation et standardisation</w:t>
      </w:r>
    </w:p>
    <w:p w14:paraId="000000CC">
      <w:pPr>
        <w:pStyle w:val="Heading2"/>
        <w:spacing w:before="300" w:beforeAutospacing="0" w:after="150" w:afterAutospacing="0"/>
        <w:rPr/>
      </w:pPr>
      <w:r>
        <w:t>5.1 Encodage des variables</w:t>
      </w:r>
    </w:p>
    <w:p w14:paraId="000000CD">
      <w:pPr>
        <w:spacing w:beforeAutospacing="0" w:after="160" w:afterAutospacing="0"/>
        <w:rPr/>
      </w:pPr>
      <w:r>
        <w:t>Les variables catégorielles ont été transformées par one-hot encoding (pd.get_dummies, drop_first=True), transformant le dataset de 20 à 30 colonnes environ. Le paramètre drop_first=True évite la colinéarité entre catégories d'une même variable.</w:t>
      </w:r>
    </w:p>
    <w:p w14:paraId="000000CE">
      <w:pPr>
        <w:pStyle w:val="Heading2"/>
        <w:spacing w:before="300" w:beforeAutospacing="0" w:after="150" w:afterAutospacing="0"/>
        <w:rPr/>
      </w:pPr>
      <w:r>
        <w:t>5.2 Correction majeure : la fuite de données (data leakage)</w:t>
      </w:r>
    </w:p>
    <w:p w14:paraId="000000CF">
      <w:pPr>
        <w:spacing w:beforeAutospacing="0" w:after="160" w:afterAutospacing="0"/>
        <w:rPr/>
      </w:pPr>
      <w:r>
        <w:t>Le pipeline initial standardisait l'ensemble du dataset avant toute séparation train/test. Cette approche introduit une fuite de données : les statistiques (moyenne, écart-type) utilisées pour standardiser le test set proviennent alors en partie du test lui-même, ce qui biaise artificiellement l'évaluation du modèle.</w:t>
      </w:r>
    </w:p>
    <w:p w14:paraId="000000D0">
      <w:pPr>
        <w:pStyle w:val="Heading1"/>
        <w:spacing w:before="400" w:beforeAutospacing="0" w:after="200" w:afterAutospacing="0"/>
        <w:rPr/>
      </w:pPr>
      <w:r>
        <w:t>6. Modélisation — Comparaison des algorithmes</w:t>
      </w:r>
    </w:p>
    <w:p w14:paraId="000000D1">
      <w:pPr>
        <w:spacing w:beforeAutospacing="0" w:after="160" w:afterAutospacing="0"/>
        <w:rPr/>
      </w:pPr>
      <w:r>
        <w:t>Six algorithmes de classification ont été entraînés et évalués sur les mêmes données, afin de sélectionner le plus adapté au problème métier.</w:t>
      </w:r>
    </w:p>
    <w:p w14:paraId="000000D2">
      <w:pPr>
        <w:spacing w:before="100" w:beforeAutospacing="0" w:after="100" w:afterAutospacing="0"/>
        <w:jc w:val="center"/>
        <w:rPr/>
      </w:pPr>
      <w:r>
        <w:rPr/>
        <w:drawing xmlns:mc="http://schemas.openxmlformats.org/markup-compatibility/2006">
          <wp:inline distT="0" distB="0" distL="118872" distR="118872">
            <wp:extent cx="4572000" cy="2571750"/>
            <wp:effectExtent l="0" t="0" r="0" b="0"/>
            <wp:docPr id="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58"/>
                    <a:srcRect/>
                    <a:stretch>
                      <a:fillRect/>
                    </a:stretch>
                  </pic:blipFill>
                  <pic:spPr>
                    <a:xfrm>
                      <a:off x="0" y="0"/>
                      <a:ext cx="4572000" cy="2571750"/>
                    </a:xfrm>
                    <a:prstGeom prst="rect">
                      <a:avLst/>
                    </a:prstGeom>
                  </pic:spPr>
                </pic:pic>
              </a:graphicData>
            </a:graphic>
          </wp:inline>
        </w:drawing>
      </w:r>
    </w:p>
    <w:p w14:paraId="000000D3">
      <w:pPr>
        <w:spacing w:beforeAutospacing="0" w:after="300" w:afterAutospacing="0"/>
        <w:jc w:val="center"/>
        <w:rPr/>
      </w:pPr>
      <w:r>
        <w:rPr>
          <w:i/>
          <w:iCs/>
          <w:color w:val="555555"/>
          <w:sz w:val="18"/>
          <w:szCs w:val="18"/>
        </w:rPr>
        <w:t>Figure 3 — Comparaison des scores AUC obtenus par chaque modèle</w:t>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700"/>
        <w:gridCol w:w="900"/>
        <w:gridCol w:w="2900"/>
        <w:gridCol w:w="2900"/>
      </w:tblGrid>
      <w:tr>
        <w:trPr/>
        <w:tc>
          <w:tcPr>
            <w:cnfStyle w:val="100010000000"/>
            <w:tcW w:w="2700" w:type="dxa"/>
            <w:shd w:val="clear" w:fill="34495e"/>
            <w:tcMar>
              <w:top w:w="80" w:type="dxa"/>
              <w:left w:w="100" w:type="dxa"/>
              <w:bottom w:w="80" w:type="dxa"/>
              <w:right w:w="100" w:type="dxa"/>
            </w:tcMar>
            <w:vAlign w:val="center"/>
          </w:tcPr>
          <w:p w14:paraId="000000D4">
            <w:r>
              <w:rPr>
                <w:b/>
                <w:bCs/>
                <w:color w:val="ffffff"/>
              </w:rPr>
              <w:t>Modèle</w:t>
            </w:r>
          </w:p>
        </w:tc>
        <w:tc>
          <w:tcPr>
            <w:cnfStyle w:val="100001000000"/>
            <w:tcW w:w="900" w:type="dxa"/>
            <w:shd w:val="clear" w:fill="34495e"/>
            <w:tcMar>
              <w:top w:w="80" w:type="dxa"/>
              <w:left w:w="100" w:type="dxa"/>
              <w:bottom w:w="80" w:type="dxa"/>
              <w:right w:w="100" w:type="dxa"/>
            </w:tcMar>
            <w:vAlign w:val="center"/>
          </w:tcPr>
          <w:p w14:paraId="000000D5">
            <w:r>
              <w:rPr>
                <w:b/>
                <w:bCs/>
                <w:color w:val="ffffff"/>
              </w:rPr>
              <w:t>AUC</w:t>
            </w:r>
          </w:p>
        </w:tc>
        <w:tc>
          <w:tcPr>
            <w:cnfStyle w:val="100010000000"/>
            <w:tcW w:w="2900" w:type="dxa"/>
            <w:shd w:val="clear" w:fill="34495e"/>
            <w:tcMar>
              <w:top w:w="80" w:type="dxa"/>
              <w:left w:w="100" w:type="dxa"/>
              <w:bottom w:w="80" w:type="dxa"/>
              <w:right w:w="100" w:type="dxa"/>
            </w:tcMar>
            <w:vAlign w:val="center"/>
          </w:tcPr>
          <w:p w14:paraId="000000D6">
            <w:r>
              <w:rPr>
                <w:b/>
                <w:bCs/>
                <w:color w:val="ffffff"/>
              </w:rPr>
              <w:t>Points forts</w:t>
            </w:r>
          </w:p>
        </w:tc>
        <w:tc>
          <w:tcPr>
            <w:cnfStyle w:val="100001000000"/>
            <w:tcW w:w="2900" w:type="dxa"/>
            <w:shd w:val="clear" w:fill="34495e"/>
            <w:tcMar>
              <w:top w:w="80" w:type="dxa"/>
              <w:left w:w="100" w:type="dxa"/>
              <w:bottom w:w="80" w:type="dxa"/>
              <w:right w:w="100" w:type="dxa"/>
            </w:tcMar>
            <w:vAlign w:val="center"/>
          </w:tcPr>
          <w:p w14:paraId="000000D7">
            <w:r>
              <w:rPr>
                <w:b/>
                <w:bCs/>
                <w:color w:val="ffffff"/>
              </w:rPr>
              <w:t>Limites</w:t>
            </w:r>
          </w:p>
        </w:tc>
      </w:tr>
      <w:tr>
        <w:trPr/>
        <w:tc>
          <w:tcPr>
            <w:cnfStyle w:val="000010000000"/>
            <w:tcW w:w="2700" w:type="dxa"/>
            <w:tcMar>
              <w:top w:w="80" w:type="dxa"/>
              <w:left w:w="100" w:type="dxa"/>
              <w:bottom w:w="80" w:type="dxa"/>
              <w:right w:w="100" w:type="dxa"/>
            </w:tcMar>
            <w:vAlign w:val="center"/>
          </w:tcPr>
          <w:p w14:paraId="000000D8">
            <w:r>
              <w:t>Régression Logistique</w:t>
            </w:r>
          </w:p>
        </w:tc>
        <w:tc>
          <w:tcPr>
            <w:cnfStyle w:val="000001000000"/>
            <w:tcW w:w="900" w:type="dxa"/>
            <w:tcMar>
              <w:top w:w="80" w:type="dxa"/>
              <w:left w:w="100" w:type="dxa"/>
              <w:bottom w:w="80" w:type="dxa"/>
              <w:right w:w="100" w:type="dxa"/>
            </w:tcMar>
            <w:vAlign w:val="center"/>
          </w:tcPr>
          <w:p w14:paraId="000000D9">
            <w:r>
              <w:t>0,842</w:t>
            </w:r>
          </w:p>
        </w:tc>
        <w:tc>
          <w:tcPr>
            <w:cnfStyle w:val="000010000000"/>
            <w:tcW w:w="2900" w:type="dxa"/>
            <w:tcMar>
              <w:top w:w="80" w:type="dxa"/>
              <w:left w:w="100" w:type="dxa"/>
              <w:bottom w:w="80" w:type="dxa"/>
              <w:right w:w="100" w:type="dxa"/>
            </w:tcMar>
            <w:vAlign w:val="center"/>
          </w:tcPr>
          <w:p w14:paraId="000000DA">
            <w:r>
              <w:t>Simple, interprétable, rapide</w:t>
            </w:r>
          </w:p>
        </w:tc>
        <w:tc>
          <w:tcPr>
            <w:cnfStyle w:val="000001000000"/>
            <w:tcW w:w="2900" w:type="dxa"/>
            <w:tcMar>
              <w:top w:w="80" w:type="dxa"/>
              <w:left w:w="100" w:type="dxa"/>
              <w:bottom w:w="80" w:type="dxa"/>
              <w:right w:w="100" w:type="dxa"/>
            </w:tcMar>
            <w:vAlign w:val="center"/>
          </w:tcPr>
          <w:p w14:paraId="000000DB">
            <w:r>
              <w:t>Suppose une relation linéaire entre variables et cible</w:t>
            </w:r>
          </w:p>
        </w:tc>
      </w:tr>
      <w:tr>
        <w:trPr/>
        <w:tc>
          <w:tcPr>
            <w:cnfStyle w:val="000010000000"/>
            <w:tcW w:w="2700" w:type="dxa"/>
            <w:shd w:val="clear" w:fill="f2f3f4"/>
            <w:tcMar>
              <w:top w:w="80" w:type="dxa"/>
              <w:left w:w="100" w:type="dxa"/>
              <w:bottom w:w="80" w:type="dxa"/>
              <w:right w:w="100" w:type="dxa"/>
            </w:tcMar>
            <w:vAlign w:val="center"/>
          </w:tcPr>
          <w:p w14:paraId="000000DC">
            <w:r>
              <w:t>KNN</w:t>
            </w:r>
          </w:p>
        </w:tc>
        <w:tc>
          <w:tcPr>
            <w:cnfStyle w:val="000001000000"/>
            <w:tcW w:w="900" w:type="dxa"/>
            <w:shd w:val="clear" w:fill="f2f3f4"/>
            <w:tcMar>
              <w:top w:w="80" w:type="dxa"/>
              <w:left w:w="100" w:type="dxa"/>
              <w:bottom w:w="80" w:type="dxa"/>
              <w:right w:w="100" w:type="dxa"/>
            </w:tcMar>
            <w:vAlign w:val="center"/>
          </w:tcPr>
          <w:p w14:paraId="000000DD">
            <w:r>
              <w:t>0,793</w:t>
            </w:r>
          </w:p>
        </w:tc>
        <w:tc>
          <w:tcPr>
            <w:cnfStyle w:val="000010000000"/>
            <w:tcW w:w="2900" w:type="dxa"/>
            <w:shd w:val="clear" w:fill="f2f3f4"/>
            <w:tcMar>
              <w:top w:w="80" w:type="dxa"/>
              <w:left w:w="100" w:type="dxa"/>
              <w:bottom w:w="80" w:type="dxa"/>
              <w:right w:w="100" w:type="dxa"/>
            </w:tcMar>
            <w:vAlign w:val="center"/>
          </w:tcPr>
          <w:p w14:paraId="000000DE">
            <w:r>
              <w:t>Simple à comprendre</w:t>
            </w:r>
          </w:p>
        </w:tc>
        <w:tc>
          <w:tcPr>
            <w:cnfStyle w:val="000001000000"/>
            <w:tcW w:w="2900" w:type="dxa"/>
            <w:shd w:val="clear" w:fill="f2f3f4"/>
            <w:tcMar>
              <w:top w:w="80" w:type="dxa"/>
              <w:left w:w="100" w:type="dxa"/>
              <w:bottom w:w="80" w:type="dxa"/>
              <w:right w:w="100" w:type="dxa"/>
            </w:tcMar>
            <w:vAlign w:val="center"/>
          </w:tcPr>
          <w:p w14:paraId="000000DF">
            <w:r>
              <w:t>Sensible à la dimensionnalité et à l'échelle des variables</w:t>
            </w:r>
          </w:p>
        </w:tc>
      </w:tr>
      <w:tr>
        <w:trPr/>
        <w:tc>
          <w:tcPr>
            <w:cnfStyle w:val="000010000000"/>
            <w:tcW w:w="2700" w:type="dxa"/>
            <w:tcMar>
              <w:top w:w="80" w:type="dxa"/>
              <w:left w:w="100" w:type="dxa"/>
              <w:bottom w:w="80" w:type="dxa"/>
              <w:right w:w="100" w:type="dxa"/>
            </w:tcMar>
            <w:vAlign w:val="center"/>
          </w:tcPr>
          <w:p w14:paraId="000000E0">
            <w:r>
              <w:t>Naive Bayes</w:t>
            </w:r>
          </w:p>
        </w:tc>
        <w:tc>
          <w:tcPr>
            <w:cnfStyle w:val="000001000000"/>
            <w:tcW w:w="900" w:type="dxa"/>
            <w:tcMar>
              <w:top w:w="80" w:type="dxa"/>
              <w:left w:w="100" w:type="dxa"/>
              <w:bottom w:w="80" w:type="dxa"/>
              <w:right w:w="100" w:type="dxa"/>
            </w:tcMar>
            <w:vAlign w:val="center"/>
          </w:tcPr>
          <w:p w14:paraId="000000E1">
            <w:r>
              <w:t>0,809</w:t>
            </w:r>
          </w:p>
        </w:tc>
        <w:tc>
          <w:tcPr>
            <w:cnfStyle w:val="000010000000"/>
            <w:tcW w:w="2900" w:type="dxa"/>
            <w:tcMar>
              <w:top w:w="80" w:type="dxa"/>
              <w:left w:w="100" w:type="dxa"/>
              <w:bottom w:w="80" w:type="dxa"/>
              <w:right w:w="100" w:type="dxa"/>
            </w:tcMar>
            <w:vAlign w:val="center"/>
          </w:tcPr>
          <w:p w14:paraId="000000E2">
            <w:r>
              <w:t>Très rapide à entraîner</w:t>
            </w:r>
          </w:p>
        </w:tc>
        <w:tc>
          <w:tcPr>
            <w:cnfStyle w:val="000001000000"/>
            <w:tcW w:w="2900" w:type="dxa"/>
            <w:tcMar>
              <w:top w:w="80" w:type="dxa"/>
              <w:left w:w="100" w:type="dxa"/>
              <w:bottom w:w="80" w:type="dxa"/>
              <w:right w:w="100" w:type="dxa"/>
            </w:tcMar>
            <w:vAlign w:val="center"/>
          </w:tcPr>
          <w:p w14:paraId="000000E3">
            <w:r>
              <w:t>Suppose l'indépendance des variables (hypothèse forte)</w:t>
            </w:r>
          </w:p>
        </w:tc>
      </w:tr>
      <w:tr>
        <w:trPr/>
        <w:tc>
          <w:tcPr>
            <w:cnfStyle w:val="000010000000"/>
            <w:tcW w:w="2700" w:type="dxa"/>
            <w:shd w:val="clear" w:fill="f2f3f4"/>
            <w:tcMar>
              <w:top w:w="80" w:type="dxa"/>
              <w:left w:w="100" w:type="dxa"/>
              <w:bottom w:w="80" w:type="dxa"/>
              <w:right w:w="100" w:type="dxa"/>
            </w:tcMar>
            <w:vAlign w:val="center"/>
          </w:tcPr>
          <w:p w14:paraId="000000E4">
            <w:r>
              <w:t>Arbre de Décision</w:t>
            </w:r>
          </w:p>
        </w:tc>
        <w:tc>
          <w:tcPr>
            <w:cnfStyle w:val="000001000000"/>
            <w:tcW w:w="900" w:type="dxa"/>
            <w:shd w:val="clear" w:fill="f2f3f4"/>
            <w:tcMar>
              <w:top w:w="80" w:type="dxa"/>
              <w:left w:w="100" w:type="dxa"/>
              <w:bottom w:w="80" w:type="dxa"/>
              <w:right w:w="100" w:type="dxa"/>
            </w:tcMar>
            <w:vAlign w:val="center"/>
          </w:tcPr>
          <w:p w14:paraId="000000E5">
            <w:r>
              <w:t>0,825</w:t>
            </w:r>
          </w:p>
        </w:tc>
        <w:tc>
          <w:tcPr>
            <w:cnfStyle w:val="000010000000"/>
            <w:tcW w:w="2900" w:type="dxa"/>
            <w:shd w:val="clear" w:fill="f2f3f4"/>
            <w:tcMar>
              <w:top w:w="80" w:type="dxa"/>
              <w:left w:w="100" w:type="dxa"/>
              <w:bottom w:w="80" w:type="dxa"/>
              <w:right w:w="100" w:type="dxa"/>
            </w:tcMar>
            <w:vAlign w:val="center"/>
          </w:tcPr>
          <w:p w14:paraId="000000E6">
            <w:r>
              <w:t>Interprétable visuellement</w:t>
            </w:r>
          </w:p>
        </w:tc>
        <w:tc>
          <w:tcPr>
            <w:cnfStyle w:val="000001000000"/>
            <w:tcW w:w="2900" w:type="dxa"/>
            <w:shd w:val="clear" w:fill="f2f3f4"/>
            <w:tcMar>
              <w:top w:w="80" w:type="dxa"/>
              <w:left w:w="100" w:type="dxa"/>
              <w:bottom w:w="80" w:type="dxa"/>
              <w:right w:w="100" w:type="dxa"/>
            </w:tcMar>
            <w:vAlign w:val="center"/>
          </w:tcPr>
          <w:p w14:paraId="000000E7">
            <w:r>
              <w:t>Sensible au surapprentissage sans limite de profondeur</w:t>
            </w:r>
          </w:p>
        </w:tc>
      </w:tr>
      <w:tr>
        <w:trPr/>
        <w:tc>
          <w:tcPr>
            <w:cnfStyle w:val="000010000000"/>
            <w:tcW w:w="2700" w:type="dxa"/>
            <w:tcMar>
              <w:top w:w="80" w:type="dxa"/>
              <w:left w:w="100" w:type="dxa"/>
              <w:bottom w:w="80" w:type="dxa"/>
              <w:right w:w="100" w:type="dxa"/>
            </w:tcMar>
            <w:vAlign w:val="center"/>
          </w:tcPr>
          <w:p w14:paraId="000000E8">
            <w:r>
              <w:t>Random Forest (base)</w:t>
            </w:r>
          </w:p>
        </w:tc>
        <w:tc>
          <w:tcPr>
            <w:cnfStyle w:val="000001000000"/>
            <w:tcW w:w="900" w:type="dxa"/>
            <w:tcMar>
              <w:top w:w="80" w:type="dxa"/>
              <w:left w:w="100" w:type="dxa"/>
              <w:bottom w:w="80" w:type="dxa"/>
              <w:right w:w="100" w:type="dxa"/>
            </w:tcMar>
            <w:vAlign w:val="center"/>
          </w:tcPr>
          <w:p w14:paraId="000000E9">
            <w:r>
              <w:t>0,828</w:t>
            </w:r>
          </w:p>
        </w:tc>
        <w:tc>
          <w:tcPr>
            <w:cnfStyle w:val="000010000000"/>
            <w:tcW w:w="2900" w:type="dxa"/>
            <w:tcMar>
              <w:top w:w="80" w:type="dxa"/>
              <w:left w:w="100" w:type="dxa"/>
              <w:bottom w:w="80" w:type="dxa"/>
              <w:right w:w="100" w:type="dxa"/>
            </w:tcMar>
            <w:vAlign w:val="center"/>
          </w:tcPr>
          <w:p w14:paraId="000000EA">
            <w:r>
              <w:t>Robuste, gère les interactions</w:t>
            </w:r>
          </w:p>
        </w:tc>
        <w:tc>
          <w:tcPr>
            <w:cnfStyle w:val="000001000000"/>
            <w:tcW w:w="2900" w:type="dxa"/>
            <w:tcMar>
              <w:top w:w="80" w:type="dxa"/>
              <w:left w:w="100" w:type="dxa"/>
              <w:bottom w:w="80" w:type="dxa"/>
              <w:right w:w="100" w:type="dxa"/>
            </w:tcMar>
            <w:vAlign w:val="center"/>
          </w:tcPr>
          <w:p w14:paraId="000000EB">
            <w:r>
              <w:t>Moins interprétable qu'un arbre unique</w:t>
            </w:r>
          </w:p>
        </w:tc>
      </w:tr>
      <w:tr>
        <w:trPr/>
        <w:tc>
          <w:tcPr>
            <w:cnfStyle w:val="000010000000"/>
            <w:tcW w:w="2700" w:type="dxa"/>
            <w:shd w:val="clear" w:fill="f2f3f4"/>
            <w:tcMar>
              <w:top w:w="80" w:type="dxa"/>
              <w:left w:w="100" w:type="dxa"/>
              <w:bottom w:w="80" w:type="dxa"/>
              <w:right w:w="100" w:type="dxa"/>
            </w:tcMar>
            <w:vAlign w:val="center"/>
          </w:tcPr>
          <w:p w14:paraId="000000EC">
            <w:r>
              <w:t>Random Forest optimisé</w:t>
            </w:r>
          </w:p>
        </w:tc>
        <w:tc>
          <w:tcPr>
            <w:cnfStyle w:val="000001000000"/>
            <w:tcW w:w="900" w:type="dxa"/>
            <w:shd w:val="clear" w:fill="f2f3f4"/>
            <w:tcMar>
              <w:top w:w="80" w:type="dxa"/>
              <w:left w:w="100" w:type="dxa"/>
              <w:bottom w:w="80" w:type="dxa"/>
              <w:right w:w="100" w:type="dxa"/>
            </w:tcMar>
            <w:vAlign w:val="center"/>
          </w:tcPr>
          <w:p w14:paraId="000000ED">
            <w:r>
              <w:t>0,841</w:t>
            </w:r>
          </w:p>
        </w:tc>
        <w:tc>
          <w:tcPr>
            <w:cnfStyle w:val="000010000000"/>
            <w:tcW w:w="2900" w:type="dxa"/>
            <w:shd w:val="clear" w:fill="f2f3f4"/>
            <w:tcMar>
              <w:top w:w="80" w:type="dxa"/>
              <w:left w:w="100" w:type="dxa"/>
              <w:bottom w:w="80" w:type="dxa"/>
              <w:right w:w="100" w:type="dxa"/>
            </w:tcMar>
            <w:vAlign w:val="center"/>
          </w:tcPr>
          <w:p w14:paraId="000000EE">
            <w:r>
              <w:t>Meilleur recall sur la classe Churn</w:t>
            </w:r>
          </w:p>
        </w:tc>
        <w:tc>
          <w:tcPr>
            <w:cnfStyle w:val="000001000000"/>
            <w:tcW w:w="2900" w:type="dxa"/>
            <w:shd w:val="clear" w:fill="f2f3f4"/>
            <w:tcMar>
              <w:top w:w="80" w:type="dxa"/>
              <w:left w:w="100" w:type="dxa"/>
              <w:bottom w:w="80" w:type="dxa"/>
              <w:right w:w="100" w:type="dxa"/>
            </w:tcMar>
            <w:vAlign w:val="center"/>
          </w:tcPr>
          <w:p w14:paraId="000000EF">
            <w:r>
              <w:t>Temps d'entraînement plus long</w:t>
            </w:r>
          </w:p>
        </w:tc>
      </w:tr>
    </w:tbl>
    <w:p w14:paraId="000000F0">
      <w:pPr>
        <w:spacing w:beforeAutospacing="0" w:after="300" w:afterAutospacing="0"/>
        <w:jc w:val="center"/>
        <w:rPr/>
      </w:pPr>
      <w:r>
        <w:rPr>
          <w:i/>
          <w:iCs/>
          <w:color w:val="555555"/>
          <w:sz w:val="18"/>
          <w:szCs w:val="18"/>
        </w:rPr>
        <w:t>Tableau 5 — Comparaison détaillée des modèles testés</w:t>
      </w:r>
    </w:p>
    <w:p w14:paraId="000000F1">
      <w:pPr>
        <w:pStyle w:val="Heading2"/>
        <w:spacing w:before="300" w:beforeAutospacing="0" w:after="150" w:afterAutospacing="0"/>
        <w:rPr/>
      </w:pPr>
      <w:r>
        <w:t xml:space="preserve">6.1 </w:t>
      </w:r>
      <w:r>
        <w:t>Interprétation du score AUC</w:t>
      </w:r>
    </w:p>
    <w:p w14:paraId="000000F2">
      <w:pPr>
        <w:spacing w:beforeAutospacing="0" w:after="160" w:afterAutospacing="0"/>
        <w:rPr/>
      </w:pPr>
      <w:r>
        <w:t>Le dataset est déséquilibré (~73,5 % de clients restent, ~26,5 % partent). Un modèle prédisant systématiquement "le client reste" atteindrait 73,5 % d'accuracy sans avoir rien appris. L'AUC (Area Under the Curve) mesure la capacité du modèle à classer correctement une paire de clients (un parti, un resté) indépendamment de ce déséquilibre, ce qui en fait une métrique plus fiable pour ce contexte.</w:t>
      </w:r>
    </w:p>
    <w:p w14:paraId="000000F3">
      <w:pPr>
        <w:pStyle w:val="Heading2"/>
        <w:spacing w:before="300" w:beforeAutospacing="0" w:after="150" w:afterAutospacing="0"/>
        <w:rPr/>
      </w:pPr>
    </w:p>
    <w:p w14:paraId="000000F4">
      <w:pPr>
        <w:pStyle w:val="Heading2"/>
        <w:spacing w:before="300" w:beforeAutospacing="0" w:after="150" w:afterAutospacing="0"/>
        <w:rPr/>
      </w:pPr>
    </w:p>
    <w:p w14:paraId="000000F5">
      <w:pPr>
        <w:pStyle w:val="Heading2"/>
        <w:spacing w:before="300" w:beforeAutospacing="0" w:after="150" w:afterAutospacing="0"/>
        <w:rPr/>
      </w:pPr>
    </w:p>
    <w:p w14:paraId="000000F6">
      <w:pPr>
        <w:pStyle w:val="Heading2"/>
        <w:spacing w:before="300" w:beforeAutospacing="0" w:after="150" w:afterAutospacing="0"/>
        <w:rPr/>
      </w:pPr>
      <w:r>
        <w:t>6.2 Choix du modèle final</w:t>
      </w:r>
    </w:p>
    <w:p w14:paraId="000000F7">
      <w:pPr>
        <w:spacing w:beforeAutospacing="0" w:after="160" w:afterAutospacing="0"/>
        <w:rPr/>
      </w:pPr>
      <w:r>
        <w:t>Bien que la Régression Logistique obtienne l'AUC le plus élevé (0,842), le Random Forest optimisé a été retenu comme modèle final.</w:t>
      </w:r>
    </w:p>
    <w:p w14:paraId="000000F8">
      <w:pPr>
        <w:spacing w:beforeAutospacing="0" w:after="120" w:afterAutospacing="0"/>
        <w:rPr/>
      </w:pPr>
      <w:r>
        <w:rPr>
          <w:b/>
          <w:bCs/>
        </w:rPr>
        <w:t xml:space="preserve">Justification métier : </w:t>
      </w:r>
      <w:r>
        <w:t>le Random Forest optimisé offre un recall de 78 % sur la classe Churn, contre 56 % pour la Régression Logistique. Dans un contexte de prévention du churn, détecter un maximum de clients à risque est prioritaire, quitte à générer quelques fausses alertes. Un client non détecté représente une perte de revenu définitive, alors qu'une fausse alerte ne coûte qu'une action marketing superflue.</w:t>
      </w:r>
    </w:p>
    <w:p w14:paraId="000000F9">
      <w:pPr>
        <w:pStyle w:val="Heading2"/>
        <w:spacing w:before="300" w:beforeAutospacing="0" w:after="150" w:afterAutospacing="0"/>
        <w:rPr/>
      </w:pPr>
      <w:r>
        <w:t>6.3 Optimisation des hyperparamètres</w:t>
      </w:r>
    </w:p>
    <w:p w14:paraId="000000FA">
      <w:pPr>
        <w:spacing w:beforeAutospacing="0" w:after="160" w:afterAutospacing="0"/>
        <w:rPr/>
      </w:pPr>
      <w:r>
        <w:t>Une recherche par grille (GridSearchCV) a été appliquée sur les paramètres n_estimators et max_depth, avec validation croisée (cv=2 à 5 selon les étapes), en optimisant le score AUC. Le paramètre class_weight='balanced' a été utilisé pour compenser le déséquilibre des classes sans recourir à un sur-échantillonnage artificiel (SMOTE).</w:t>
      </w:r>
    </w:p>
    <w:p w14:paraId="000000FB">
      <w:pPr>
        <w:pStyle w:val="Heading1"/>
        <w:spacing w:before="400" w:beforeAutospacing="0" w:after="200" w:afterAutospacing="0"/>
        <w:rPr/>
      </w:pPr>
      <w:r>
        <w:t>7. Évaluation du modèle final</w:t>
      </w:r>
    </w:p>
    <w:p w14:paraId="000000FC">
      <w:pPr>
        <w:pStyle w:val="Heading1"/>
        <w:spacing w:before="400" w:beforeAutospacing="0" w:after="200" w:afterAutospacing="0"/>
        <w:rPr/>
      </w:pPr>
      <w:r>
        <w:rPr/>
        <w:drawing xmlns:mc="http://schemas.openxmlformats.org/markup-compatibility/2006">
          <wp:anchor allowOverlap="1" behindDoc="0" distT="0" distB="0" distL="118872" distR="118872" layoutInCell="1" locked="0" relativeHeight="2" simplePos="0">
            <wp:simplePos x="0" y="0"/>
            <wp:positionH relativeFrom="margin">
              <wp:posOffset>-134620</wp:posOffset>
            </wp:positionH>
            <wp:positionV relativeFrom="margin">
              <wp:posOffset>3543300</wp:posOffset>
            </wp:positionV>
            <wp:extent cx="3277870" cy="2752725"/>
            <wp:effectExtent l="0" t="0" r="0" b="0"/>
            <wp:wrapSquare wrapText="bothSides"/>
            <wp:docPr id="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Grp="0" noSelect="0" noChangeAspect="1" noMove="0"/>
                    </pic:cNvPicPr>
                  </pic:nvPicPr>
                  <pic:blipFill>
                    <a:blip r:embed="rId59"/>
                    <a:srcRect/>
                    <a:stretch>
                      <a:fillRect/>
                    </a:stretch>
                  </pic:blipFill>
                  <pic:spPr>
                    <a:xfrm>
                      <a:off x="0" y="0"/>
                      <a:ext cx="3277870" cy="2752725"/>
                    </a:xfrm>
                    <a:prstGeom prst="rect">
                      <a:avLst/>
                    </a:prstGeom>
                  </pic:spPr>
                </pic:pic>
              </a:graphicData>
            </a:graphic>
          </wp:anchor>
        </w:drawing>
      </w:r>
      <w:r>
        <w:t>7.1 Matrice de confus</w:t>
      </w:r>
      <w:r>
        <w:t>ion</w:t>
      </w:r>
    </w:p>
    <w:p w14:paraId="000000FD">
      <w:pPr>
        <w:pStyle w:val="Normal"/>
        <w:rPr/>
      </w:pPr>
    </w:p>
    <w:p w14:paraId="000000FE">
      <w:pPr>
        <w:pStyle w:val="Normal"/>
        <w:numPr>
          <w:ilvl w:val="0"/>
          <w:numId w:val="2"/>
        </w:numPr>
        <w:bidi w:val="off"/>
        <w:rPr>
          <w:lang w:val="fr-FR"/>
        </w:rPr>
      </w:pPr>
      <w:r>
        <w:rPr>
          <w:lang w:val="fr-FR"/>
        </w:rPr>
        <w:t>776 vrais négatifs — clients restés, correctement identifié</w:t>
      </w:r>
    </w:p>
    <w:p w14:paraId="000000FF">
      <w:pPr>
        <w:pStyle w:val="Normal"/>
        <w:bidi w:val="off"/>
        <w:ind w:left="0" w:right="0" w:firstLine="0"/>
        <w:rPr>
          <w:lang w:val="fr-FR"/>
        </w:rPr>
      </w:pPr>
    </w:p>
    <w:p w14:paraId="00000100">
      <w:pPr>
        <w:pStyle w:val="Normal"/>
        <w:numPr>
          <w:ilvl w:val="0"/>
          <w:numId w:val="2"/>
        </w:numPr>
        <w:bidi w:val="off"/>
        <w:rPr>
          <w:lang w:val="fr-FR"/>
        </w:rPr>
      </w:pPr>
      <w:r>
        <w:rPr>
          <w:lang w:val="fr-FR"/>
        </w:rPr>
        <w:t>292 vrais positifs — clients partis, détectés à l'avance (78 % des 374 départs réels)</w:t>
      </w:r>
    </w:p>
    <w:p w14:paraId="00000101">
      <w:pPr>
        <w:pStyle w:val="Normal"/>
        <w:bidi w:val="off"/>
        <w:ind w:left="0" w:right="0" w:firstLine="0"/>
        <w:rPr>
          <w:lang w:val="fr-FR"/>
        </w:rPr>
      </w:pPr>
    </w:p>
    <w:p w14:paraId="00000102">
      <w:pPr>
        <w:pStyle w:val="Normal"/>
        <w:bidi w:val="off"/>
        <w:ind w:left="0" w:right="0" w:firstLine="0"/>
        <w:rPr>
          <w:lang w:val="fr-FR"/>
        </w:rPr>
      </w:pPr>
    </w:p>
    <w:p w14:paraId="00000103">
      <w:pPr>
        <w:pStyle w:val="Normal"/>
        <w:numPr>
          <w:ilvl w:val="0"/>
          <w:numId w:val="2"/>
        </w:numPr>
        <w:bidi w:val="off"/>
        <w:rPr>
          <w:lang w:val="fr-FR"/>
        </w:rPr>
      </w:pPr>
      <w:r>
        <w:rPr>
          <w:lang w:val="fr-FR"/>
        </w:rPr>
        <w:t>259 faux positifs — clients prédits à risque mais finalement restés (fausses alertes)</w:t>
      </w:r>
    </w:p>
    <w:p w14:paraId="00000104">
      <w:pPr>
        <w:pStyle w:val="Normal"/>
        <w:bidi w:val="off"/>
        <w:ind w:left="0" w:right="0" w:firstLine="0"/>
        <w:rPr>
          <w:lang w:val="fr-FR"/>
        </w:rPr>
      </w:pPr>
    </w:p>
    <w:p w14:paraId="00000105">
      <w:pPr>
        <w:pStyle w:val="Normal"/>
        <w:bidi w:val="off"/>
        <w:ind w:left="0" w:right="0" w:firstLine="0"/>
        <w:rPr>
          <w:lang w:val="fr-FR"/>
        </w:rPr>
      </w:pPr>
    </w:p>
    <w:p w14:paraId="00000106">
      <w:pPr>
        <w:pStyle w:val="Normal"/>
        <w:numPr>
          <w:ilvl w:val="0"/>
          <w:numId w:val="2"/>
        </w:numPr>
        <w:bidi w:val="off"/>
        <w:rPr>
          <w:lang w:val="fr-FR"/>
        </w:rPr>
      </w:pPr>
      <w:r>
        <w:rPr>
          <w:lang w:val="fr-FR"/>
        </w:rPr>
        <w:t>82 faux négatifs — clients partis sans avoir été détectés par le modèle integre se paragraphe a cote de la photo</w:t>
      </w:r>
    </w:p>
    <w:p w14:paraId="00000107">
      <w:pPr>
        <w:pStyle w:val="Normal"/>
        <w:rPr>
          <w:lang w:val="fr-FR"/>
        </w:rPr>
      </w:pPr>
    </w:p>
    <w:p w14:paraId="00000108">
      <w:pPr>
        <w:pStyle w:val="Normal"/>
        <w:rPr/>
      </w:pPr>
    </w:p>
    <w:p w14:paraId="00000109">
      <w:pPr>
        <w:pStyle w:val="Normal"/>
        <w:rPr/>
      </w:pPr>
      <w:r>
        <w:t xml:space="preserve">                    </w:t>
      </w:r>
    </w:p>
    <w:p w14:paraId="0000010A">
      <w:pPr>
        <w:spacing w:beforeAutospacing="0" w:after="300" w:afterAutospacing="0"/>
        <w:jc w:val="center"/>
        <w:rPr/>
      </w:pPr>
      <w:r>
        <w:rPr>
          <w:i/>
          <w:iCs/>
          <w:color w:val="555555"/>
          <w:sz w:val="18"/>
          <w:szCs w:val="18"/>
        </w:rPr>
        <w:t>Figure 4 — Matrice de confusion du Random Forest optimisé (exemple illustratif)</w:t>
      </w:r>
    </w:p>
    <w:p w14:paraId="0000010B">
      <w:pPr>
        <w:pStyle w:val="Heading2"/>
        <w:spacing w:before="300" w:beforeAutospacing="0" w:after="150" w:afterAutospacing="0"/>
        <w:rPr/>
      </w:pPr>
      <w:r>
        <w:t>7.2 Courbe ROC</w:t>
      </w:r>
    </w:p>
    <w:p w14:paraId="0000010C">
      <w:pPr>
        <w:spacing w:before="100" w:beforeAutospacing="0" w:after="100" w:afterAutospacing="0"/>
        <w:jc w:val="center"/>
        <w:rPr/>
      </w:pPr>
      <w:r>
        <w:rPr/>
        <w:drawing xmlns:mc="http://schemas.openxmlformats.org/markup-compatibility/2006">
          <wp:inline distT="0" distB="0" distL="118872" distR="118872">
            <wp:extent cx="2571115" cy="1617980"/>
            <wp:effectExtent l="0" t="0" r="25400" b="25400"/>
            <wp:docPr id="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60"/>
                    <a:srcRect/>
                    <a:stretch>
                      <a:fillRect/>
                    </a:stretch>
                  </pic:blipFill>
                  <pic:spPr>
                    <a:xfrm>
                      <a:off x="0" y="0"/>
                      <a:ext cx="2571115" cy="1617980"/>
                    </a:xfrm>
                    <a:prstGeom prst="rect">
                      <a:avLst/>
                    </a:prstGeom>
                    <a:ln w="12700">
                      <a:solidFill>
                        <a:schemeClr val="accent1"/>
                      </a:solidFill>
                    </a:ln>
                  </pic:spPr>
                </pic:pic>
              </a:graphicData>
            </a:graphic>
          </wp:inline>
        </w:drawing>
      </w:r>
      <w:r>
        <w:rPr>
          <w:i/>
          <w:iCs/>
          <w:color w:val="555555"/>
          <w:sz w:val="18"/>
          <w:szCs w:val="18"/>
        </w:rPr>
        <w:t xml:space="preserve">   Figure 5 — Courbe ROC du modèle final</w:t>
      </w:r>
    </w:p>
    <w:p w14:paraId="0000010D">
      <w:pPr>
        <w:pStyle w:val="Heading2"/>
        <w:spacing w:before="300" w:beforeAutospacing="0" w:after="150" w:afterAutospacing="0"/>
        <w:rPr/>
      </w:pPr>
      <w:r>
        <w:t>7.3 Importance des variables</w:t>
      </w:r>
    </w:p>
    <w:p w14:paraId="0000010E">
      <w:pPr>
        <w:spacing w:before="100" w:beforeAutospacing="0" w:after="100" w:afterAutospacing="0"/>
        <w:jc w:val="center"/>
        <w:rPr/>
      </w:pPr>
      <w:r>
        <w:rPr/>
        <w:drawing xmlns:mc="http://schemas.openxmlformats.org/markup-compatibility/2006">
          <wp:inline distT="0" distB="0" distL="118872" distR="118872">
            <wp:extent cx="4286250" cy="2952750"/>
            <wp:effectExtent l="0" t="0" r="0" b="0"/>
            <wp:docPr id="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61"/>
                    <a:srcRect/>
                    <a:stretch>
                      <a:fillRect/>
                    </a:stretch>
                  </pic:blipFill>
                  <pic:spPr>
                    <a:xfrm>
                      <a:off x="0" y="0"/>
                      <a:ext cx="4286250" cy="2952750"/>
                    </a:xfrm>
                    <a:prstGeom prst="rect">
                      <a:avLst/>
                    </a:prstGeom>
                  </pic:spPr>
                </pic:pic>
              </a:graphicData>
            </a:graphic>
          </wp:inline>
        </w:drawing>
      </w:r>
    </w:p>
    <w:p w14:paraId="0000010F">
      <w:pPr>
        <w:spacing w:beforeAutospacing="0" w:after="300" w:afterAutospacing="0"/>
        <w:jc w:val="center"/>
        <w:rPr/>
      </w:pPr>
      <w:r>
        <w:rPr>
          <w:i/>
          <w:iCs/>
          <w:color w:val="555555"/>
          <w:sz w:val="18"/>
          <w:szCs w:val="18"/>
        </w:rPr>
        <w:t>Figure 6 — Variables les plus importantes selon le Random Forest (exemple illustratif)</w:t>
      </w:r>
    </w:p>
    <w:p w14:paraId="00000110">
      <w:pPr>
        <w:spacing w:beforeAutospacing="0" w:after="160" w:afterAutospacing="0"/>
        <w:rPr/>
      </w:pPr>
      <w:r>
        <w:t>Ce classement, produit directement par le modèle, recoupe largement les facteurs identifiés lors de l'analyse exploratoire (type de contrat, ancienneté, service internet), ce qui renforce la confiance dans la cohérence globale de l'étude.</w:t>
      </w:r>
    </w:p>
    <w:p w14:paraId="00000111">
      <w:pPr>
        <w:pStyle w:val="Heading1"/>
        <w:spacing w:before="400" w:beforeAutospacing="0" w:after="200" w:afterAutospacing="0"/>
        <w:rPr/>
      </w:pPr>
      <w:r>
        <w:t>8. Validation et fiabilité du modèle</w:t>
      </w:r>
    </w:p>
    <w:p w14:paraId="00000112">
      <w:pPr>
        <w:spacing w:beforeAutospacing="0" w:after="160" w:afterAutospacing="0"/>
        <w:rPr/>
      </w:pPr>
      <w:r>
        <w:t>Une validation croisée (StratifiedKFold, 5 découpages) a été réalisée sur le train set, afin de vérifier que la performance du modèle ne dépend pas d'un découpage particulier des données.</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800"/>
        <w:gridCol w:w="3400"/>
        <w:gridCol w:w="3300"/>
      </w:tblGrid>
      <w:tr>
        <w:trPr/>
        <w:tc>
          <w:tcPr>
            <w:cnfStyle w:val="100010000000"/>
            <w:tcW w:w="2800" w:type="dxa"/>
            <w:shd w:val="clear" w:fill="34495e"/>
            <w:tcMar>
              <w:top w:w="80" w:type="dxa"/>
              <w:left w:w="100" w:type="dxa"/>
              <w:bottom w:w="80" w:type="dxa"/>
              <w:right w:w="100" w:type="dxa"/>
            </w:tcMar>
            <w:vAlign w:val="center"/>
          </w:tcPr>
          <w:p w14:paraId="00000113">
            <w:r>
              <w:rPr>
                <w:b/>
                <w:bCs/>
                <w:color w:val="ffffff"/>
              </w:rPr>
              <w:t>Étape</w:t>
            </w:r>
          </w:p>
        </w:tc>
        <w:tc>
          <w:tcPr>
            <w:cnfStyle w:val="100001000000"/>
            <w:tcW w:w="3400" w:type="dxa"/>
            <w:shd w:val="clear" w:fill="34495e"/>
            <w:tcMar>
              <w:top w:w="80" w:type="dxa"/>
              <w:left w:w="100" w:type="dxa"/>
              <w:bottom w:w="80" w:type="dxa"/>
              <w:right w:w="100" w:type="dxa"/>
            </w:tcMar>
            <w:vAlign w:val="center"/>
          </w:tcPr>
          <w:p w14:paraId="00000114">
            <w:r>
              <w:rPr>
                <w:b/>
                <w:bCs/>
                <w:color w:val="ffffff"/>
              </w:rPr>
              <w:t>Objectif</w:t>
            </w:r>
          </w:p>
        </w:tc>
        <w:tc>
          <w:tcPr>
            <w:cnfStyle w:val="100010000000"/>
            <w:tcW w:w="3300" w:type="dxa"/>
            <w:shd w:val="clear" w:fill="34495e"/>
            <w:tcMar>
              <w:top w:w="80" w:type="dxa"/>
              <w:left w:w="100" w:type="dxa"/>
              <w:bottom w:w="80" w:type="dxa"/>
              <w:right w:w="100" w:type="dxa"/>
            </w:tcMar>
            <w:vAlign w:val="center"/>
          </w:tcPr>
          <w:p w14:paraId="00000115">
            <w:r>
              <w:rPr>
                <w:b/>
                <w:bCs/>
                <w:color w:val="ffffff"/>
              </w:rPr>
              <w:t>Résultat attendu</w:t>
            </w:r>
          </w:p>
        </w:tc>
      </w:tr>
      <w:tr>
        <w:trPr/>
        <w:tc>
          <w:tcPr>
            <w:cnfStyle w:val="000010000000"/>
            <w:tcW w:w="2800" w:type="dxa"/>
            <w:tcMar>
              <w:top w:w="80" w:type="dxa"/>
              <w:left w:w="100" w:type="dxa"/>
              <w:bottom w:w="80" w:type="dxa"/>
              <w:right w:w="100" w:type="dxa"/>
            </w:tcMar>
            <w:vAlign w:val="center"/>
          </w:tcPr>
          <w:p w14:paraId="00000116">
            <w:r>
              <w:t>Validation croisée (5 folds)</w:t>
            </w:r>
          </w:p>
        </w:tc>
        <w:tc>
          <w:tcPr>
            <w:cnfStyle w:val="000001000000"/>
            <w:tcW w:w="3400" w:type="dxa"/>
            <w:tcMar>
              <w:top w:w="80" w:type="dxa"/>
              <w:left w:w="100" w:type="dxa"/>
              <w:bottom w:w="80" w:type="dxa"/>
              <w:right w:w="100" w:type="dxa"/>
            </w:tcMar>
            <w:vAlign w:val="center"/>
          </w:tcPr>
          <w:p w14:paraId="00000117">
            <w:r>
              <w:t>Vérifier la stabilité du modèle sur différents sous-échantillons</w:t>
            </w:r>
          </w:p>
        </w:tc>
        <w:tc>
          <w:tcPr>
            <w:cnfStyle w:val="000010000000"/>
            <w:tcW w:w="3300" w:type="dxa"/>
            <w:tcMar>
              <w:top w:w="80" w:type="dxa"/>
              <w:left w:w="100" w:type="dxa"/>
              <w:bottom w:w="80" w:type="dxa"/>
              <w:right w:w="100" w:type="dxa"/>
            </w:tcMar>
            <w:vAlign w:val="center"/>
          </w:tcPr>
          <w:p w14:paraId="00000118">
            <w:r>
              <w:t>Écart-type faible entre les folds</w:t>
            </w:r>
          </w:p>
        </w:tc>
      </w:tr>
      <w:tr>
        <w:trPr/>
        <w:tc>
          <w:tcPr>
            <w:cnfStyle w:val="000010000000"/>
            <w:tcW w:w="2800" w:type="dxa"/>
            <w:shd w:val="clear" w:fill="f2f3f4"/>
            <w:tcMar>
              <w:top w:w="80" w:type="dxa"/>
              <w:left w:w="100" w:type="dxa"/>
              <w:bottom w:w="80" w:type="dxa"/>
              <w:right w:w="100" w:type="dxa"/>
            </w:tcMar>
            <w:vAlign w:val="center"/>
          </w:tcPr>
          <w:p w14:paraId="00000119">
            <w:r>
              <w:t>Évaluation sur le test set</w:t>
            </w:r>
          </w:p>
        </w:tc>
        <w:tc>
          <w:tcPr>
            <w:cnfStyle w:val="000001000000"/>
            <w:tcW w:w="3400" w:type="dxa"/>
            <w:shd w:val="clear" w:fill="f2f3f4"/>
            <w:tcMar>
              <w:top w:w="80" w:type="dxa"/>
              <w:left w:w="100" w:type="dxa"/>
              <w:bottom w:w="80" w:type="dxa"/>
              <w:right w:w="100" w:type="dxa"/>
            </w:tcMar>
            <w:vAlign w:val="center"/>
          </w:tcPr>
          <w:p w14:paraId="0000011A">
            <w:r>
              <w:t>Mesurer la performance sur des données jamais vues</w:t>
            </w:r>
          </w:p>
        </w:tc>
        <w:tc>
          <w:tcPr>
            <w:cnfStyle w:val="000010000000"/>
            <w:tcW w:w="3300" w:type="dxa"/>
            <w:shd w:val="clear" w:fill="f2f3f4"/>
            <w:tcMar>
              <w:top w:w="80" w:type="dxa"/>
              <w:left w:w="100" w:type="dxa"/>
              <w:bottom w:w="80" w:type="dxa"/>
              <w:right w:w="100" w:type="dxa"/>
            </w:tcMar>
            <w:vAlign w:val="center"/>
          </w:tcPr>
          <w:p w14:paraId="0000011B">
            <w:r>
              <w:t>Score proche de la moyenne de validation croisée</w:t>
            </w:r>
          </w:p>
        </w:tc>
      </w:tr>
      <w:tr>
        <w:trPr/>
        <w:tc>
          <w:tcPr>
            <w:cnfStyle w:val="000010000000"/>
            <w:tcW w:w="2800" w:type="dxa"/>
            <w:tcMar>
              <w:top w:w="80" w:type="dxa"/>
              <w:left w:w="100" w:type="dxa"/>
              <w:bottom w:w="80" w:type="dxa"/>
              <w:right w:w="100" w:type="dxa"/>
            </w:tcMar>
            <w:vAlign w:val="center"/>
          </w:tcPr>
          <w:p w14:paraId="0000011C">
            <w:r>
              <w:t>Comparaison CV / Test</w:t>
            </w:r>
          </w:p>
        </w:tc>
        <w:tc>
          <w:tcPr>
            <w:cnfStyle w:val="000001000000"/>
            <w:tcW w:w="3400" w:type="dxa"/>
            <w:tcMar>
              <w:top w:w="80" w:type="dxa"/>
              <w:left w:w="100" w:type="dxa"/>
              <w:bottom w:w="80" w:type="dxa"/>
              <w:right w:w="100" w:type="dxa"/>
            </w:tcMar>
            <w:vAlign w:val="center"/>
          </w:tcPr>
          <w:p w14:paraId="0000011D">
            <w:r>
              <w:t>Détecter un éventuel surapprentissage</w:t>
            </w:r>
          </w:p>
        </w:tc>
        <w:tc>
          <w:tcPr>
            <w:cnfStyle w:val="000010000000"/>
            <w:tcW w:w="3300" w:type="dxa"/>
            <w:tcMar>
              <w:top w:w="80" w:type="dxa"/>
              <w:left w:w="100" w:type="dxa"/>
              <w:bottom w:w="80" w:type="dxa"/>
              <w:right w:w="100" w:type="dxa"/>
            </w:tcMar>
            <w:vAlign w:val="center"/>
          </w:tcPr>
          <w:p w14:paraId="0000011E">
            <w:r>
              <w:t>Absence d'écart significatif entre les deux</w:t>
            </w:r>
          </w:p>
        </w:tc>
      </w:tr>
    </w:tbl>
    <w:p w14:paraId="0000011F">
      <w:pPr>
        <w:spacing w:beforeAutospacing="0" w:after="300" w:afterAutospacing="0"/>
        <w:jc w:val="center"/>
        <w:rPr/>
      </w:pPr>
      <w:r>
        <w:rPr>
          <w:i/>
          <w:iCs/>
          <w:color w:val="555555"/>
          <w:sz w:val="18"/>
          <w:szCs w:val="18"/>
        </w:rPr>
        <w:t>Tableau 6 — Méthodologie de validation du modèle final</w:t>
      </w:r>
    </w:p>
    <w:p w14:paraId="00000120">
      <w:pPr>
        <w:spacing w:beforeAutospacing="0" w:after="160" w:afterAutospacing="0"/>
        <w:rPr/>
      </w:pPr>
      <w:r>
        <w:t>Un écart-type faible en validation croisée et une cohérence entre le score de validation croisée et le score sur le test final confirment que le modèle généralise correctement sur des données non vues, sans signe de surapprentissage.</w:t>
      </w:r>
    </w:p>
    <w:p w14:paraId="00000121">
      <w:pPr>
        <w:pStyle w:val="Heading1"/>
        <w:spacing w:before="400" w:beforeAutospacing="0" w:after="200" w:afterAutospacing="0"/>
        <w:rPr/>
      </w:pPr>
    </w:p>
    <w:p w14:paraId="00000122">
      <w:pPr>
        <w:pStyle w:val="Heading1"/>
        <w:spacing w:before="400" w:beforeAutospacing="0" w:after="200" w:afterAutospacing="0"/>
        <w:rPr/>
      </w:pPr>
    </w:p>
    <w:p w14:paraId="00000123">
      <w:pPr>
        <w:pStyle w:val="Heading1"/>
        <w:spacing w:before="400" w:beforeAutospacing="0" w:after="200" w:afterAutospacing="0"/>
        <w:rPr/>
      </w:pPr>
    </w:p>
    <w:p w14:paraId="00000124">
      <w:pPr>
        <w:pStyle w:val="Heading1"/>
        <w:spacing w:before="400" w:beforeAutospacing="0" w:after="200" w:afterAutospacing="0"/>
        <w:rPr/>
      </w:pPr>
      <w:r>
        <w:t>9. Recommandations métier</w:t>
      </w:r>
    </w:p>
    <w:p w14:paraId="00000125">
      <w:pPr>
        <w:spacing w:beforeAutospacing="0" w:after="160" w:afterAutospacing="0"/>
        <w:rPr/>
      </w:pPr>
      <w:r>
        <w:t>Les facteurs de risque identifiés permettent de proposer des actions ciblées de rétention :</w:t>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300"/>
        <w:gridCol w:w="6200"/>
      </w:tblGrid>
      <w:tr>
        <w:trPr/>
        <w:tc>
          <w:tcPr>
            <w:cnfStyle w:val="100010000000"/>
            <w:tcW w:w="3300" w:type="dxa"/>
            <w:shd w:val="clear" w:fill="34495e"/>
            <w:tcMar>
              <w:top w:w="80" w:type="dxa"/>
              <w:left w:w="100" w:type="dxa"/>
              <w:bottom w:w="80" w:type="dxa"/>
              <w:right w:w="100" w:type="dxa"/>
            </w:tcMar>
            <w:vAlign w:val="center"/>
          </w:tcPr>
          <w:p w14:paraId="00000126">
            <w:r>
              <w:rPr>
                <w:b/>
                <w:bCs/>
                <w:color w:val="ffffff"/>
              </w:rPr>
              <w:t>Facteur de risque</w:t>
            </w:r>
          </w:p>
        </w:tc>
        <w:tc>
          <w:tcPr>
            <w:cnfStyle w:val="100001000000"/>
            <w:tcW w:w="6200" w:type="dxa"/>
            <w:shd w:val="clear" w:fill="34495e"/>
            <w:tcMar>
              <w:top w:w="80" w:type="dxa"/>
              <w:left w:w="100" w:type="dxa"/>
              <w:bottom w:w="80" w:type="dxa"/>
              <w:right w:w="100" w:type="dxa"/>
            </w:tcMar>
            <w:vAlign w:val="center"/>
          </w:tcPr>
          <w:p w14:paraId="00000127">
            <w:r>
              <w:rPr>
                <w:b/>
                <w:bCs/>
                <w:color w:val="ffffff"/>
              </w:rPr>
              <w:t>Action recommandée</w:t>
            </w:r>
          </w:p>
        </w:tc>
      </w:tr>
      <w:tr>
        <w:trPr/>
        <w:tc>
          <w:tcPr>
            <w:cnfStyle w:val="000010000000"/>
            <w:tcW w:w="3300" w:type="dxa"/>
            <w:tcMar>
              <w:top w:w="80" w:type="dxa"/>
              <w:left w:w="100" w:type="dxa"/>
              <w:bottom w:w="80" w:type="dxa"/>
              <w:right w:w="100" w:type="dxa"/>
            </w:tcMar>
            <w:vAlign w:val="center"/>
          </w:tcPr>
          <w:p w14:paraId="00000128">
            <w:r>
              <w:t>Contrat mensuel</w:t>
            </w:r>
          </w:p>
        </w:tc>
        <w:tc>
          <w:tcPr>
            <w:cnfStyle w:val="000001000000"/>
            <w:tcW w:w="6200" w:type="dxa"/>
            <w:tcMar>
              <w:top w:w="80" w:type="dxa"/>
              <w:left w:w="100" w:type="dxa"/>
              <w:bottom w:w="80" w:type="dxa"/>
              <w:right w:w="100" w:type="dxa"/>
            </w:tcMar>
            <w:vAlign w:val="center"/>
          </w:tcPr>
          <w:p w14:paraId="00000129">
            <w:r>
              <w:t>Inciter à la conversion vers un engagement 1 ou 2 ans (remise, avantage exclusif)</w:t>
            </w:r>
          </w:p>
        </w:tc>
      </w:tr>
      <w:tr>
        <w:trPr/>
        <w:tc>
          <w:tcPr>
            <w:cnfStyle w:val="000010000000"/>
            <w:tcW w:w="3300" w:type="dxa"/>
            <w:shd w:val="clear" w:fill="f2f3f4"/>
            <w:tcMar>
              <w:top w:w="80" w:type="dxa"/>
              <w:left w:w="100" w:type="dxa"/>
              <w:bottom w:w="80" w:type="dxa"/>
              <w:right w:w="100" w:type="dxa"/>
            </w:tcMar>
            <w:vAlign w:val="center"/>
          </w:tcPr>
          <w:p w14:paraId="0000012A">
            <w:r>
              <w:t>Ancienneté &lt; 12 mois</w:t>
            </w:r>
          </w:p>
        </w:tc>
        <w:tc>
          <w:tcPr>
            <w:cnfStyle w:val="000001000000"/>
            <w:tcW w:w="6200" w:type="dxa"/>
            <w:shd w:val="clear" w:fill="f2f3f4"/>
            <w:tcMar>
              <w:top w:w="80" w:type="dxa"/>
              <w:left w:w="100" w:type="dxa"/>
              <w:bottom w:w="80" w:type="dxa"/>
              <w:right w:w="100" w:type="dxa"/>
            </w:tcMar>
            <w:vAlign w:val="center"/>
          </w:tcPr>
          <w:p w14:paraId="0000012B">
            <w:r>
              <w:t>Renforcer l'accompagnement des nouveaux clients (suivi à J+30, J+90)</w:t>
            </w:r>
          </w:p>
        </w:tc>
      </w:tr>
      <w:tr>
        <w:trPr/>
        <w:tc>
          <w:tcPr>
            <w:cnfStyle w:val="000010000000"/>
            <w:tcW w:w="3300" w:type="dxa"/>
            <w:tcMar>
              <w:top w:w="80" w:type="dxa"/>
              <w:left w:w="100" w:type="dxa"/>
              <w:bottom w:w="80" w:type="dxa"/>
              <w:right w:w="100" w:type="dxa"/>
            </w:tcMar>
            <w:vAlign w:val="center"/>
          </w:tcPr>
          <w:p w14:paraId="0000012C">
            <w:r>
              <w:t>Fibre optique</w:t>
            </w:r>
          </w:p>
        </w:tc>
        <w:tc>
          <w:tcPr>
            <w:cnfStyle w:val="000001000000"/>
            <w:tcW w:w="6200" w:type="dxa"/>
            <w:tcMar>
              <w:top w:w="80" w:type="dxa"/>
              <w:left w:w="100" w:type="dxa"/>
              <w:bottom w:w="80" w:type="dxa"/>
              <w:right w:w="100" w:type="dxa"/>
            </w:tcMar>
            <w:vAlign w:val="center"/>
          </w:tcPr>
          <w:p w14:paraId="0000012D">
            <w:r>
              <w:t>Enquête de satisfaction ciblée pour identifier la cause du churn sur ce segment</w:t>
            </w:r>
          </w:p>
        </w:tc>
      </w:tr>
      <w:tr>
        <w:trPr/>
        <w:tc>
          <w:tcPr>
            <w:cnfStyle w:val="000010000000"/>
            <w:tcW w:w="3300" w:type="dxa"/>
            <w:shd w:val="clear" w:fill="f2f3f4"/>
            <w:tcMar>
              <w:top w:w="80" w:type="dxa"/>
              <w:left w:w="100" w:type="dxa"/>
              <w:bottom w:w="80" w:type="dxa"/>
              <w:right w:w="100" w:type="dxa"/>
            </w:tcMar>
            <w:vAlign w:val="center"/>
          </w:tcPr>
          <w:p w14:paraId="0000012E">
            <w:r>
              <w:t>Absence de support technique</w:t>
            </w:r>
          </w:p>
        </w:tc>
        <w:tc>
          <w:tcPr>
            <w:cnfStyle w:val="000001000000"/>
            <w:tcW w:w="6200" w:type="dxa"/>
            <w:shd w:val="clear" w:fill="f2f3f4"/>
            <w:tcMar>
              <w:top w:w="80" w:type="dxa"/>
              <w:left w:w="100" w:type="dxa"/>
              <w:bottom w:w="80" w:type="dxa"/>
              <w:right w:w="100" w:type="dxa"/>
            </w:tcMar>
            <w:vAlign w:val="center"/>
          </w:tcPr>
          <w:p w14:paraId="0000012F">
            <w:r>
              <w:t>Offrir le support technique gratuitement la première année</w:t>
            </w:r>
          </w:p>
        </w:tc>
      </w:tr>
      <w:tr>
        <w:trPr/>
        <w:tc>
          <w:tcPr>
            <w:cnfStyle w:val="000010000000"/>
            <w:tcW w:w="3300" w:type="dxa"/>
            <w:tcMar>
              <w:top w:w="80" w:type="dxa"/>
              <w:left w:w="100" w:type="dxa"/>
              <w:bottom w:w="80" w:type="dxa"/>
              <w:right w:w="100" w:type="dxa"/>
            </w:tcMar>
            <w:vAlign w:val="center"/>
          </w:tcPr>
          <w:p w14:paraId="00000130">
            <w:r>
              <w:t>Paiement par chèque électronique</w:t>
            </w:r>
          </w:p>
        </w:tc>
        <w:tc>
          <w:tcPr>
            <w:cnfStyle w:val="000001000000"/>
            <w:tcW w:w="6200" w:type="dxa"/>
            <w:tcMar>
              <w:top w:w="80" w:type="dxa"/>
              <w:left w:w="100" w:type="dxa"/>
              <w:bottom w:w="80" w:type="dxa"/>
              <w:right w:w="100" w:type="dxa"/>
            </w:tcMar>
            <w:vAlign w:val="center"/>
          </w:tcPr>
          <w:p w14:paraId="00000131">
            <w:r>
              <w:t>Inciter au prélèvement automatique (remise, simplicité)</w:t>
            </w:r>
          </w:p>
        </w:tc>
      </w:tr>
      <w:tr>
        <w:trPr/>
        <w:tc>
          <w:tcPr>
            <w:cnfStyle w:val="000010000000"/>
            <w:tcW w:w="3300" w:type="dxa"/>
            <w:shd w:val="clear" w:fill="f2f3f4"/>
            <w:tcMar>
              <w:top w:w="80" w:type="dxa"/>
              <w:left w:w="100" w:type="dxa"/>
              <w:bottom w:w="80" w:type="dxa"/>
              <w:right w:w="100" w:type="dxa"/>
            </w:tcMar>
            <w:vAlign w:val="center"/>
          </w:tcPr>
          <w:p w14:paraId="00000132">
            <w:r>
              <w:t>Client isolé (senior, sans partenaire)</w:t>
            </w:r>
          </w:p>
        </w:tc>
        <w:tc>
          <w:tcPr>
            <w:cnfStyle w:val="000001000000"/>
            <w:tcW w:w="6200" w:type="dxa"/>
            <w:shd w:val="clear" w:fill="f2f3f4"/>
            <w:tcMar>
              <w:top w:w="80" w:type="dxa"/>
              <w:left w:w="100" w:type="dxa"/>
              <w:bottom w:w="80" w:type="dxa"/>
              <w:right w:w="100" w:type="dxa"/>
            </w:tcMar>
            <w:vAlign w:val="center"/>
          </w:tcPr>
          <w:p w14:paraId="00000133">
            <w:r>
              <w:t>Assistance dédiée et offres simplifiées pour ce segment</w:t>
            </w:r>
          </w:p>
        </w:tc>
      </w:tr>
    </w:tbl>
    <w:p w14:paraId="00000134">
      <w:pPr>
        <w:spacing w:beforeAutospacing="0" w:after="300" w:afterAutospacing="0"/>
        <w:jc w:val="center"/>
        <w:rPr/>
      </w:pPr>
      <w:r>
        <w:rPr>
          <w:i/>
          <w:iCs/>
          <w:color w:val="555555"/>
          <w:sz w:val="18"/>
          <w:szCs w:val="18"/>
        </w:rPr>
        <w:t>Tableau 7 — Recommandations d'actions par facteur de risque</w:t>
      </w:r>
    </w:p>
    <w:p w14:paraId="00000135">
      <w:pPr>
        <w:pStyle w:val="Heading2"/>
        <w:spacing w:before="300" w:beforeAutospacing="0" w:after="150" w:afterAutospacing="0"/>
        <w:rPr/>
      </w:pPr>
      <w:r>
        <w:t>9.1 Utilisation opérationnelle du modèle</w:t>
      </w:r>
    </w:p>
    <w:p w14:paraId="00000136">
      <w:pPr>
        <w:spacing w:beforeAutospacing="0" w:after="160" w:afterAutospacing="0"/>
        <w:rPr/>
      </w:pPr>
      <w:r>
        <w:t>Plutôt que d'appliquer ces actions de façon uniforme, le modèle permet de calculer un score de risque individuel par client, afin de prioriser les efforts de rétention sur les clients combinant un risque élevé de départ et une forte valeur (ancienneté, charges cumulées).</w:t>
      </w:r>
    </w:p>
    <w:p w14:paraId="00000137">
      <w:pPr>
        <w:pStyle w:val="Heading1"/>
        <w:spacing w:before="400" w:beforeAutospacing="0" w:after="200" w:afterAutospacing="0"/>
        <w:rPr/>
      </w:pPr>
      <w:r>
        <w:t>10. Conclusion</w:t>
      </w:r>
    </w:p>
    <w:p w14:paraId="00000138">
      <w:pPr>
        <w:spacing w:beforeAutospacing="0" w:after="160" w:afterAutospacing="0"/>
        <w:rPr/>
      </w:pPr>
      <w:r>
        <w:t>Ce projet a permis de construire un pipeline complet et reproductible, depuis les données brutes jusqu'à un modèle validé, en documentant chaque choix technique et son impact sur la fiabilité des résultats.</w:t>
      </w:r>
    </w:p>
    <w:p w14:paraId="00000139">
      <w:pPr>
        <w:spacing w:beforeAutospacing="0" w:after="160" w:afterAutospacing="0"/>
        <w:rPr/>
      </w:pPr>
      <w:r>
        <w:t>Les principales corrections apportées au pipeline initial (fuite de données, gestion du déséquilibre des classes, vérifications de qualité des données) garantissent une évaluation honnête de la performance du modèle, condition indispensable avant toute mise en production.</w:t>
      </w:r>
    </w:p>
    <w:p w14:paraId="0000013A">
      <w:pPr>
        <w:spacing w:beforeAutospacing="0" w:after="160" w:afterAutospacing="0"/>
        <w:rPr/>
      </w:pPr>
      <w:r>
        <w:t>Le modèle final, un Random Forest optimisé sauvegardé au format joblib, est prêt à être intégré dans un outil de scoring client ou un dashboard de suivi opérationnel.</w:t>
      </w:r>
    </w:p>
    <w:sectPr>
      <w:pgSz w:w="11906" w:h="16838" w:orient="portrait"/>
      <w:pgMar w:top="1440" w:right="1440" w:bottom="1440" w:left="1440" w:header="708" w:footer="708" w:gutter="0"/>
      <w:textDirection w:val="lrTbV"/>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rStyle w:val="Endnotereference"/>
        </w:rPr>
        <w:endnoteRef/>
      </w:r>
      <w:r>
        <w:rPr/>
        <w:separator/>
      </w:r>
    </w:p>
  </w:endnote>
  <w:endnote w:type="continuationSeparator" w:id="1">
    <w:p w14:paraId="00000004">
      <w:pPr>
        <w:spacing w:beforeAutospacing="0" w:after="0" w:afterAutospacing="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theme" Target="theme/theme1.xml"/><Relationship Id="rId3" Type="http://schemas.openxmlformats.org/officeDocument/2006/relationships/footnotes" Target="footnotes.xml"/><Relationship Id="rId4" Type="http://schemas.openxmlformats.org/officeDocument/2006/relationships/endnotes" Target="endnotes.xml"/><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 Type="http://schemas.openxmlformats.org/officeDocument/2006/relationships/settings" Target="settings.xml"/><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Par défau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Ryma Sitayeb</cp:lastModifiedBy>
</cp:coreProperties>
</file>

<file path=docProps/custom.xml><?xml version="1.0" encoding="utf-8"?>
<Properties xmlns="http://schemas.openxmlformats.org/officeDocument/2006/custom-properties" xmlns:vt="http://schemas.openxmlformats.org/officeDocument/2006/docPropsVTypes"/>
</file>