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D6FE0"/>
          <w:spacing w:val="40"/>
          <w:sz w:val="16"/>
          <w:szCs w:val="16"/>
        </w:rPr>
        <w:t xml:space="preserve">TWL CONTROL TOWER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2A44"/>
          <w:sz w:val="40"/>
          <w:szCs w:val="40"/>
        </w:rPr>
        <w:t xml:space="preserve">선사 API 확장 플랜</w:t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color w:val="6B7A93"/>
          <w:sz w:val="19"/>
          <w:szCs w:val="19"/>
        </w:rPr>
        <w:t xml:space="preserve">단거리·원양 커버리지 실측 기반 · 2026-08-19 산출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6B7A93"/>
          <w:sz w:val="17"/>
          <w:szCs w:val="17"/>
        </w:rPr>
        <w:t xml:space="preserve">원천: ELVIS_TWSC.FMS_MBL_MST (태웅로직스 선적 실적) · 작성: TWL Control Tower</w:t>
      </w:r>
    </w:p>
    <w:p>
      <w:pPr>
        <w:pBdr>
          <w:bottom w:val="single" w:color="D6DEEA" w:sz="6"/>
        </w:pBdr>
        <w:spacing w:after="20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1. 요약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현재 화물추적 실조회가 연동된 선사는 6사이며, 자사 선적 실적 기준 커버리지는 15.30%다. 확장 대상 3사(머스크·HMM·하파그로이드)를 모두 개통하면 31.80%로 두 배가 된다.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B2A44"/>
          <w:sz w:val="20"/>
          <w:szCs w:val="20"/>
        </w:rPr>
        <w:t xml:space="preserve">그러나 실측 결과 드러난 핵심 사실은 커버리지의 총량이 아니라 그 편중이다.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3사 개통 후 원양(장거리) 커버리지는 45.60%까지 오르지만, 단거리(아시아 역내)는 17.59%에 머문다.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확장 대상 3사가 모두 원양 중심 선사이기 때문이다. 하파그로이드는 물량의 95.2%, 머스크는 85.0%가 원양이다.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2A44"/>
          <w:sz w:val="20"/>
          <w:szCs w:val="20"/>
        </w:rPr>
        <w:t xml:space="preserve">따라서 API 확장만으로는 단거리 구간을 열 수 없다. 단거리는 별도 트랙(6장)이 필요하다.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결론: 본 확장은 "원양 화물 관제"를 완성하는 작업으로 규정하고, 단거리는 국내 터미널 선석 데이터 연계로 보완한다.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2. 측정 기준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항목</w:t>
            </w:r>
          </w:p>
        </w:tc>
        <w:tc>
          <w:tcPr>
            <w:tcW w:type="dxa" w:w="6739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원천 테이블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ELVIS_TWSC.FMS_MBL_MST (태웅로직스 실운영 DB)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대상 기간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ETD 2024-01-01 이후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대상 화물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컨테이너 화물(CNTR_TYPE = F/L), 도착항 코드 유효 건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모집단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230,801건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단거리 정의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도착항 국가가 아시아 15개국(KR·JP·CN·TW·HK·VN·TH·MY·SG·ID·PH·KH·MM·BN·LA)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원양 정의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그 외 전 지역(미주·유럽·중동·아프리카·오세아니아·중남미)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선사 식별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LINE_CD 기준. 동일 선사의 복수 코드는 병합(예: 장금상선 LSIK+LNMS, HMM LHDMU+LAMR)</w:t>
            </w:r>
          </w:p>
        </w:tc>
      </w:tr>
    </w:tbl>
    <w:p>
      <w:pPr>
        <w:spacing w:after="120" w:before="100" w:line="300"/>
      </w:pPr>
      <w:r>
        <w:rPr>
          <w:rFonts w:ascii="맑은 고딕" w:cs="맑은 고딕" w:eastAsia="맑은 고딕" w:hAnsi="맑은 고딕"/>
          <w:color w:val="6B7A93"/>
          <w:sz w:val="18"/>
          <w:szCs w:val="18"/>
        </w:rPr>
        <w:t xml:space="preserve">모집단 구성: 단거리 113,741건(49.28%) · 원양 117,060건(50.72%). 태웅 물량은 두 구간이 거의 반반이다.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3. 현재 상태 — 실조회 연동 6사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246"/>
        <w:gridCol w:w="1310"/>
        <w:gridCol w:w="1498"/>
        <w:gridCol w:w="1217"/>
        <w:gridCol w:w="1498"/>
        <w:gridCol w:w="1591"/>
      </w:tblGrid>
      <w:tr>
        <w:trPr>
          <w:tblHeader/>
        </w:trPr>
        <w:tc>
          <w:tcPr>
            <w:tcW w:type="dxa" w:w="2246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131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SCAC</w:t>
            </w:r>
          </w:p>
        </w:tc>
        <w:tc>
          <w:tcPr>
            <w:tcW w:type="dxa" w:w="149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건수</w:t>
            </w:r>
          </w:p>
        </w:tc>
        <w:tc>
          <w:tcPr>
            <w:tcW w:type="dxa" w:w="1217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비중</w:t>
            </w:r>
          </w:p>
        </w:tc>
        <w:tc>
          <w:tcPr>
            <w:tcW w:type="dxa" w:w="149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단거리</w:t>
            </w:r>
          </w:p>
        </w:tc>
        <w:tc>
          <w:tcPr>
            <w:tcW w:type="dxa" w:w="159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원양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ONE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ONEY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12,026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5.21%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3,864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8,162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COSCO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COSU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7,322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3.17%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1,729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5,593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Evergreen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EGLV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6,849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2.97%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3,382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3,467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SITC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SITC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3,500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1.52%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3,170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330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ZIM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ZIMU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3,320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1.44%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73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3,247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SM상선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SMLM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2,292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0.99%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1,817</w:t>
            </w:r>
          </w:p>
        </w:tc>
        <w:tc>
          <w:tcPr>
            <w:tcW w:type="dxa" w:w="15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475</w:t>
            </w:r>
          </w:p>
        </w:tc>
      </w:tr>
      <w:tr>
        <w:tc>
          <w:tcPr>
            <w:tcW w:type="dxa" w:w="2246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합계</w:t>
            </w:r>
          </w:p>
        </w:tc>
        <w:tc>
          <w:tcPr>
            <w:tcW w:type="dxa" w:w="1310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6사</w:t>
            </w:r>
          </w:p>
        </w:tc>
        <w:tc>
          <w:tcPr>
            <w:tcW w:type="dxa" w:w="1498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35,309</w:t>
            </w:r>
          </w:p>
        </w:tc>
        <w:tc>
          <w:tcPr>
            <w:tcW w:type="dxa" w:w="1217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15.30%</w:t>
            </w:r>
          </w:p>
        </w:tc>
        <w:tc>
          <w:tcPr>
            <w:tcW w:type="dxa" w:w="1498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14,035</w:t>
            </w:r>
          </w:p>
        </w:tc>
        <w:tc>
          <w:tcPr>
            <w:tcW w:type="dxa" w:w="1591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21,274</w:t>
            </w:r>
          </w:p>
        </w:tc>
      </w:tr>
    </w:tbl>
    <w:p>
      <w:pPr>
        <w:spacing w:after="120" w:before="100" w:line="300"/>
      </w:pPr>
      <w:r>
        <w:rPr>
          <w:rFonts w:ascii="맑은 고딕" w:cs="맑은 고딕" w:eastAsia="맑은 고딕" w:hAnsi="맑은 고딕"/>
          <w:color w:val="6B7A93"/>
          <w:sz w:val="18"/>
          <w:szCs w:val="18"/>
        </w:rPr>
        <w:t xml:space="preserve">구간별 커버리지 — 단거리 12.34% · 원양 18.17%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4. 확장 대상 3사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059"/>
        <w:gridCol w:w="1123"/>
        <w:gridCol w:w="1404"/>
        <w:gridCol w:w="1123"/>
        <w:gridCol w:w="1310"/>
        <w:gridCol w:w="1310"/>
        <w:gridCol w:w="1030"/>
      </w:tblGrid>
      <w:tr>
        <w:trPr>
          <w:tblHeader/>
        </w:trPr>
        <w:tc>
          <w:tcPr>
            <w:tcW w:type="dxa" w:w="2059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1123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SCAC</w:t>
            </w:r>
          </w:p>
        </w:tc>
        <w:tc>
          <w:tcPr>
            <w:tcW w:type="dxa" w:w="1404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건수</w:t>
            </w:r>
          </w:p>
        </w:tc>
        <w:tc>
          <w:tcPr>
            <w:tcW w:type="dxa" w:w="1123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비중</w:t>
            </w:r>
          </w:p>
        </w:tc>
        <w:tc>
          <w:tcPr>
            <w:tcW w:type="dxa" w:w="131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단거리</w:t>
            </w:r>
          </w:p>
        </w:tc>
        <w:tc>
          <w:tcPr>
            <w:tcW w:type="dxa" w:w="131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원양</w:t>
            </w:r>
          </w:p>
        </w:tc>
        <w:tc>
          <w:tcPr>
            <w:tcW w:type="dxa" w:w="103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원양비중</w:t>
            </w:r>
          </w:p>
        </w:tc>
      </w:tr>
      <w:t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머스크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MAEU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16,574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7.18%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2,478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14,096</w:t>
            </w:r>
          </w:p>
        </w:tc>
        <w:tc>
          <w:tcPr>
            <w:tcW w:type="dxa" w:w="10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HMM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HDMU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13,216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5.73%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3,093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10,123</w:t>
            </w:r>
          </w:p>
        </w:tc>
        <w:tc>
          <w:tcPr>
            <w:tcW w:type="dxa" w:w="10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76.6%</w:t>
            </w:r>
          </w:p>
        </w:tc>
      </w:tr>
      <w:t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하파그로이드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HLCU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8,290</w:t>
            </w:r>
          </w:p>
        </w:tc>
        <w:tc>
          <w:tcPr>
            <w:tcW w:type="dxa" w:w="11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3.59%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398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7,892</w:t>
            </w:r>
          </w:p>
        </w:tc>
        <w:tc>
          <w:tcPr>
            <w:tcW w:type="dxa" w:w="10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95.2%</w:t>
            </w:r>
          </w:p>
        </w:tc>
      </w:tr>
      <w:tr>
        <w:tc>
          <w:tcPr>
            <w:tcW w:type="dxa" w:w="2059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합계</w:t>
            </w:r>
          </w:p>
        </w:tc>
        <w:tc>
          <w:tcPr>
            <w:tcW w:type="dxa" w:w="1123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3사</w:t>
            </w:r>
          </w:p>
        </w:tc>
        <w:tc>
          <w:tcPr>
            <w:tcW w:type="dxa" w:w="1404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38,080</w:t>
            </w:r>
          </w:p>
        </w:tc>
        <w:tc>
          <w:tcPr>
            <w:tcW w:type="dxa" w:w="1123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16.50%</w:t>
            </w:r>
          </w:p>
        </w:tc>
        <w:tc>
          <w:tcPr>
            <w:tcW w:type="dxa" w:w="1310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5,969</w:t>
            </w:r>
          </w:p>
        </w:tc>
        <w:tc>
          <w:tcPr>
            <w:tcW w:type="dxa" w:w="1310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32,111</w:t>
            </w:r>
          </w:p>
        </w:tc>
        <w:tc>
          <w:tcPr>
            <w:tcW w:type="dxa" w:w="1030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84.3%</w:t>
            </w:r>
          </w:p>
        </w:tc>
      </w:tr>
    </w:tbl>
    <w:p>
      <w:pPr>
        <w:spacing w:after="120" w:before="100" w:line="300"/>
      </w:pPr>
      <w:r>
        <w:rPr>
          <w:rFonts w:ascii="맑은 고딕" w:cs="맑은 고딕" w:eastAsia="맑은 고딕" w:hAnsi="맑은 고딕"/>
          <w:color w:val="1B2A44"/>
          <w:sz w:val="19"/>
          <w:szCs w:val="19"/>
        </w:rPr>
        <w:t xml:space="preserve">세 곳 모두 원양 편중이 뚜렷하다. 특히 하파그로이드는 단거리 물량이 398건(4.8%)에 불과해, 단거리 커버리지에는 사실상 기여하지 않는다.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5. 개통 시나리오별 커버리지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6B7A93"/>
          <w:sz w:val="19"/>
          <w:szCs w:val="19"/>
        </w:rPr>
        <w:t xml:space="preserve">개통 순서는 물량 비중을 따랐다. 각 단계는 누적 기준이다.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434"/>
        <w:gridCol w:w="1685"/>
        <w:gridCol w:w="1685"/>
        <w:gridCol w:w="1778"/>
        <w:gridCol w:w="1778"/>
      </w:tblGrid>
      <w:tr>
        <w:trPr>
          <w:tblHeader/>
        </w:trPr>
        <w:tc>
          <w:tcPr>
            <w:tcW w:type="dxa" w:w="2434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단계</w:t>
            </w:r>
          </w:p>
        </w:tc>
        <w:tc>
          <w:tcPr>
            <w:tcW w:type="dxa" w:w="1685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누적 건수</w:t>
            </w:r>
          </w:p>
        </w:tc>
        <w:tc>
          <w:tcPr>
            <w:tcW w:type="dxa" w:w="1685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전체 커버리지</w:t>
            </w:r>
          </w:p>
        </w:tc>
        <w:tc>
          <w:tcPr>
            <w:tcW w:type="dxa" w:w="177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단거리 커버리지</w:t>
            </w:r>
          </w:p>
        </w:tc>
        <w:tc>
          <w:tcPr>
            <w:tcW w:type="dxa" w:w="177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원양 커버리지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현재 (6사)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35,309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15.30%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12.34%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18.17%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+ 머스크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51,883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22.48%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14.52%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30.21%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+ HMM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65,099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28.21%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17.24%</w:t>
            </w:r>
          </w:p>
        </w:tc>
        <w:tc>
          <w:tcPr>
            <w:tcW w:type="dxa" w:w="17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38.86%</w:t>
            </w:r>
          </w:p>
        </w:tc>
      </w:tr>
      <w:tr>
        <w:tc>
          <w:tcPr>
            <w:tcW w:type="dxa" w:w="2434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+ 하파그로이드 (9사)</w:t>
            </w:r>
          </w:p>
        </w:tc>
        <w:tc>
          <w:tcPr>
            <w:tcW w:type="dxa" w:w="1685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73,389</w:t>
            </w:r>
          </w:p>
        </w:tc>
        <w:tc>
          <w:tcPr>
            <w:tcW w:type="dxa" w:w="1685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31.80%</w:t>
            </w:r>
          </w:p>
        </w:tc>
        <w:tc>
          <w:tcPr>
            <w:tcW w:type="dxa" w:w="1778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17.59%</w:t>
            </w:r>
          </w:p>
        </w:tc>
        <w:tc>
          <w:tcPr>
            <w:tcW w:type="dxa" w:w="1778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45.60%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전체 커버리지는 15.30% → 31.80%로 2.1배가 되지만, 구간별로 보면 원양은 2.5배(18.17% → 45.60%)인 반면 단거리는 1.4배(12.34% → 17.59%)에 그친다.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6. 핵심 발견 — 단거리는 API로 열리지 않는다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3사 개통을 마쳐도 단거리 화물 10건 중 8건 이상은 여전히 자동 추적 밖에 남는다. 단거리 미커버 물량의 주인이 누구인지 실측했다.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808"/>
        <w:gridCol w:w="1872"/>
        <w:gridCol w:w="2059"/>
        <w:gridCol w:w="2621"/>
      </w:tblGrid>
      <w:tr>
        <w:trPr>
          <w:tblHeader/>
        </w:trPr>
        <w:tc>
          <w:tcPr>
            <w:tcW w:type="dxa" w:w="280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1872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단거리 건수</w:t>
            </w:r>
          </w:p>
        </w:tc>
        <w:tc>
          <w:tcPr>
            <w:tcW w:type="dxa" w:w="2059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단거리 내 비중</w:t>
            </w:r>
          </w:p>
        </w:tc>
        <w:tc>
          <w:tcPr>
            <w:tcW w:type="dxa" w:w="262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장금상선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21,758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19.13%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LSIK + LNMS 병합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흥아라인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11,151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9.80%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고려해운(KMTC)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8,737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7.68%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팬오션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8,175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7.19%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양밍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3,701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3.25%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A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상위 5사 합계</w:t>
            </w:r>
          </w:p>
        </w:tc>
        <w:tc>
          <w:tcPr>
            <w:tcW w:type="dxa" w:w="1872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53,522</w:t>
            </w:r>
          </w:p>
        </w:tc>
        <w:tc>
          <w:tcPr>
            <w:tcW w:type="dxa" w:w="2059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47.06%</w:t>
            </w:r>
          </w:p>
        </w:tc>
        <w:tc>
          <w:tcPr>
            <w:tcW w:type="dxa" w:w="2621"/>
            <w:shd w:fill="F5F8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8"/>
                <w:szCs w:val="18"/>
              </w:rPr>
              <w:t xml:space="preserve">단거리의 절반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1B2A44"/>
          <w:sz w:val="20"/>
          <w:szCs w:val="20"/>
        </w:rPr>
        <w:t xml:space="preserve">이 가운데 장금상선·흥아라인·고려해운·양밍 4사는 공개 API를 제공하지 않는다. 이들만으로 단거리 물량의 39.8%를 차지한다.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7. 단거리 보완 트랙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단거리 구간은 API 확장과 분리된 별도 수단으로 접근한다. 검토된 세 가지 방안은 다음과 같다.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246"/>
        <w:gridCol w:w="3931"/>
        <w:gridCol w:w="3182"/>
      </w:tblGrid>
      <w:tr>
        <w:trPr>
          <w:tblHeader/>
        </w:trPr>
        <w:tc>
          <w:tcPr>
            <w:tcW w:type="dxa" w:w="2246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방안</w:t>
            </w:r>
          </w:p>
        </w:tc>
        <w:tc>
          <w:tcPr>
            <w:tcW w:type="dxa" w:w="393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내용</w:t>
            </w:r>
          </w:p>
        </w:tc>
        <w:tc>
          <w:tcPr>
            <w:tcW w:type="dxa" w:w="3182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판단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국내 터미널 선석 데이터 연계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전국 16개 터미널의 선석배정 데이터를 이미 매일 수집 중. 선명·항차 매칭으로 접안·출항·반입마감을 화물추적 화면에 연결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채택 — 구현 완료. 추가 수집 없이 화면 연계만으로 국내 구간 보완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선사 사이트 자동화(RPA)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공개 API가 없는 선사의 웹 화면을 자동 조회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보류 — 우회 기법 배제 방침. 재개 시 사이트 정찰(캡차·로그인·HTML 안정성) 선행</w:t>
            </w:r>
          </w:p>
        </w:tc>
      </w:tr>
      <w:t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미대응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단거리는 수동 조회 유지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부분 적용 — 터미널 연계로 커버되지 않는 해외 구간에 한정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현 방침: 원양은 API로, 국내 구간은 터미널 데이터로 채우고, 해외 단거리 구간은 향후 과제로 남긴다.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8. 실행 계획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1685"/>
        <w:gridCol w:w="2059"/>
        <w:gridCol w:w="3182"/>
        <w:gridCol w:w="2434"/>
      </w:tblGrid>
      <w:tr>
        <w:trPr>
          <w:tblHeader/>
        </w:trPr>
        <w:tc>
          <w:tcPr>
            <w:tcW w:type="dxa" w:w="1685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2059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182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다음 액션</w:t>
            </w:r>
          </w:p>
        </w:tc>
        <w:tc>
          <w:tcPr>
            <w:tcW w:type="dxa" w:w="2434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관문</w:t>
            </w:r>
          </w:p>
        </w:tc>
      </w:tr>
      <w:tr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머스크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미신청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Maersk Customer Code 확보 후 Track and Trace Plus(무료) 신청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고객코드 — 없으면 승인 불가</w:t>
            </w:r>
          </w:p>
        </w:tc>
      </w:tr>
      <w:tr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HMM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승인 대기 (8월 중순 신청)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포털 승인 담당자 직통 확인 요청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심사 승인 — 국내 선사라 직접 소통 가능</w:t>
            </w:r>
          </w:p>
        </w:tc>
      </w:tr>
      <w:tr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하파그로이드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승인 대기 (계정 미검증)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하파그 코리아 담당자를 통한 계정 승인 푸시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계정 승인 → 앱 생성 → 상품 구독 3단계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세 곳 공통 관문은 고객코드와 승인이다. 포털 문의는 글로벌 큐에서 지연되므로, 각 선사 영업 담당자를 통한 내부 요청이 실효적이다.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B2A44"/>
          <w:sz w:val="23"/>
          <w:szCs w:val="23"/>
        </w:rPr>
        <w:t xml:space="preserve">키 발급 이후 절차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발급된 키는 서버 금고(Edge Functions Secrets)에만 등록하며 소스 저장소에는 기록하지 않는다.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키 등록 즉시 화면 재배포 없이 실조회로 자동 승격된다(ZIM 개통으로 검증된 방식).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2A44"/>
          <w:sz w:val="20"/>
          <w:szCs w:val="20"/>
        </w:rPr>
        <w:t xml:space="preserve">선사 추가 시 갱신 지점은 두 곳이다 — 조회 어댑터 레지스트리와 감시 등록 허용 목록. 후자를 빠뜨리면 조회는 되는데 감시 등록이 거부된다(ZIM 개통 당시 실제 발생).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9. 기술 준비 상태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434"/>
        <w:gridCol w:w="2246"/>
        <w:gridCol w:w="4680"/>
      </w:tblGrid>
      <w:tr>
        <w:trPr>
          <w:tblHeader/>
        </w:trPr>
        <w:tc>
          <w:tcPr>
            <w:tcW w:type="dxa" w:w="2434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2246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어댑터</w:t>
            </w:r>
          </w:p>
        </w:tc>
        <w:tc>
          <w:tcPr>
            <w:tcW w:type="dxa" w:w="468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인증 방식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머스크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완료 · 배포됨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Consumer-Key + OAuth(Client ID/Secret)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HMM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완료 · 배포됨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API Key (DCSA 표준)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하파그로이드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완료 · 배포됨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Client ID/Secret (IBM API Connect 헤더)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color w:val="1B2A44"/>
          <w:sz w:val="20"/>
          <w:szCs w:val="20"/>
        </w:rPr>
        <w:t xml:space="preserve">세 선사 모두 DCSA Track &amp; Trace 표준을 따르므로 공용 파서를 사용한다. 코드 작업은 남아 있지 않으며, 키 등록만 대기 중이다.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B2A44"/>
          <w:sz w:val="28"/>
          <w:szCs w:val="28"/>
        </w:rPr>
        <w:t xml:space="preserve">10. 제외 대상</w:t>
      </w:r>
    </w:p>
    <w:tbl>
      <w:tblPr>
        <w:tblW w:type="dxa" w:w="9360"/>
        <w:tblBorders>
          <w:top w:val="single" w:color="C9D4E4" w:sz="4"/>
          <w:left w:val="single" w:color="C9D4E4" w:sz="4"/>
          <w:bottom w:val="single" w:color="C9D4E4" w:sz="4"/>
          <w:right w:val="single" w:color="C9D4E4" w:sz="4"/>
          <w:insideH w:val="single" w:color="DCE4F0" w:sz="3"/>
          <w:insideV w:val="single" w:color="DCE4F0" w:sz="3"/>
        </w:tblBorders>
      </w:tblPr>
      <w:tblGrid>
        <w:gridCol w:w="2621"/>
        <w:gridCol w:w="2808"/>
        <w:gridCol w:w="3931"/>
      </w:tblGrid>
      <w:tr>
        <w:trPr>
          <w:tblHeader/>
        </w:trPr>
        <w:tc>
          <w:tcPr>
            <w:tcW w:type="dxa" w:w="262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선사</w:t>
            </w:r>
          </w:p>
        </w:tc>
        <w:tc>
          <w:tcPr>
            <w:tcW w:type="dxa" w:w="2808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물량</w:t>
            </w:r>
          </w:p>
        </w:tc>
        <w:tc>
          <w:tcPr>
            <w:tcW w:type="dxa" w:w="3931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2A44"/>
                <w:sz w:val="17"/>
                <w:szCs w:val="17"/>
              </w:rPr>
              <w:t xml:space="preserve">제외 사유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MSC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11,172건 (4.84%)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계약 서명 필요 — 계약·유료 전면 제외 방침(2026-08-18 확정)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CMA CGM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10,776건 (4.67%)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유료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양밍·완하이·OOCL 등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—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유료 또는 공개 API 부재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장금·흥아·고려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41,646건(단거리)</w:t>
            </w:r>
          </w:p>
        </w:tc>
        <w:tc>
          <w:tcPr>
            <w:tcW w:type="dxa" w:w="39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color w:val="1B2A44"/>
                <w:sz w:val="18"/>
                <w:szCs w:val="18"/>
              </w:rPr>
              <w:t xml:space="preserve">공개 API 없음 — 7장 단거리 트랙에서 다룸</w:t>
            </w:r>
          </w:p>
        </w:tc>
      </w:tr>
    </w:tbl>
    <w:p>
      <w:pPr>
        <w:pBdr>
          <w:bottom w:val="single" w:color="D6DEEA" w:sz="6"/>
        </w:pBdr>
        <w:spacing w:after="20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0" w:before="0" w:line="300"/>
      </w:pPr>
      <w:r>
        <w:rPr>
          <w:rFonts w:ascii="맑은 고딕" w:cs="맑은 고딕" w:eastAsia="맑은 고딕" w:hAnsi="맑은 고딕"/>
          <w:color w:val="6B7A93"/>
          <w:sz w:val="17"/>
          <w:szCs w:val="17"/>
        </w:rPr>
        <w:t xml:space="preserve">본 문서의 모든 수치는 ELVIS 실데이터를 2026-08-19 시점에 직접 집계한 결과이며, 추정치가 포함되어 있지 않다.</w:t>
      </w:r>
    </w:p>
    <w:sectPr>
      <w:pgSz w:w="11906" w:h="16838" w:orient="portrait"/>
      <w:pgMar w:top="1100" w:right="1040" w:bottom="11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선사 API 확장 플랜</dc:title>
  <dc:creator>태웅로직스 TWL Control Tower</dc:creator>
  <dc:description>단거리·원양 커버리지 실측 기반 선사 확장 계획 (2026-08-19)</dc:description>
  <cp:lastModifiedBy>Un-named</cp:lastModifiedBy>
  <cp:revision>1</cp:revision>
  <dcterms:created xsi:type="dcterms:W3CDTF">2026-08-19T14:48:40.975Z</dcterms:created>
  <dcterms:modified xsi:type="dcterms:W3CDTF">2026-08-19T14:48:40.976Z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