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1523138" cy="665632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3138" cy="66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center"/>
        <w:rPr>
          <w:rFonts w:ascii="Arial" w:cs="Arial" w:eastAsia="Arial" w:hAnsi="Arial"/>
          <w:b w:val="1"/>
          <w:bCs w:val="1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2"/>
          <w:szCs w:val="22"/>
          <w:rtl w:val="0"/>
        </w:rPr>
        <w:t xml:space="preserve">ALMOXARIFADO/15ª RPM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MANUAL DE INSTRUÇÕES DO SIC3 v1.0</w:t>
      </w:r>
    </w:p>
    <w:p w:rsidR="00000000" w:rsidDel="00000000" w:rsidP="00000000" w:rsidRDefault="00000000" w:rsidRPr="00000000" w14:paraId="00000005">
      <w:pPr>
        <w:spacing w:after="0" w:before="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Informatizado de Controle de Contas de Convênio (SIC3) da 15ª RPM foi desenvolvido para informatizar, otimizar e padronizar o controle e registro dos materiais e serviços adquiridos/contratados por meio de convênios no âmbito da 15ª RPM. Para garantir o uso adequado do sistema o usuário deve seguir as instruções abaixo:</w:t>
      </w:r>
    </w:p>
    <w:p w:rsidR="00000000" w:rsidDel="00000000" w:rsidP="00000000" w:rsidRDefault="00000000" w:rsidRPr="00000000" w14:paraId="00000007">
      <w:pPr>
        <w:spacing w:after="0" w:before="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yson8j4ec3uq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  <w:tab/>
        <w:t xml:space="preserve">ACESSO AO SISTEMA</w:t>
      </w:r>
    </w:p>
    <w:p w:rsidR="00000000" w:rsidDel="00000000" w:rsidP="00000000" w:rsidRDefault="00000000" w:rsidRPr="00000000" w14:paraId="00000009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  <w:b w:val="0"/>
          <w:bCs w:val="0"/>
        </w:rPr>
      </w:pPr>
      <w:bookmarkStart w:colFirst="0" w:colLast="0" w:name="_5boc37tbk6v3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1.1</w:t>
        <w:tab/>
        <w:t xml:space="preserve">LINK DE ACESSO</w:t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acesso ao sistema deve ser feito por meio do endereço eletrônico:</w:t>
      </w:r>
    </w:p>
    <w:p w:rsidR="00000000" w:rsidDel="00000000" w:rsidP="00000000" w:rsidRDefault="00000000" w:rsidRPr="00000000" w14:paraId="0000000B">
      <w:pPr>
        <w:spacing w:after="0" w:before="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https://sites.google.com/view/15rpm/p/almox/sic3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65k4p24l0nk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  <w:b w:val="0"/>
          <w:bCs w:val="0"/>
        </w:rPr>
      </w:pPr>
      <w:bookmarkStart w:colFirst="0" w:colLast="0" w:name="_2fkl5giy8ow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1.2</w:t>
        <w:tab/>
        <w:t xml:space="preserve">LOGIN</w:t>
      </w:r>
    </w:p>
    <w:p w:rsidR="00000000" w:rsidDel="00000000" w:rsidP="00000000" w:rsidRDefault="00000000" w:rsidRPr="00000000" w14:paraId="0000000E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1.2.1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página inicial, será exibida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tela de login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onde o usuário deve informar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número PM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senha mestra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correspondente ao convênio.</w:t>
      </w:r>
    </w:p>
    <w:p w:rsidR="00000000" w:rsidDel="00000000" w:rsidP="00000000" w:rsidRDefault="00000000" w:rsidRPr="00000000" w14:paraId="0000000F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1.2.2</w:t>
        <w:tab/>
        <w:t xml:space="preserve">A senha mestra será disponibilizada pelo Almoxarifado da 15ª RPM através da Intranet PM, sendo uma senha específica para cada convênio.</w:t>
      </w:r>
    </w:p>
    <w:p w:rsidR="00000000" w:rsidDel="00000000" w:rsidP="00000000" w:rsidRDefault="00000000" w:rsidRPr="00000000" w14:paraId="00000010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1.2.3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  <w:t xml:space="preserve">Qualquer militar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utilizando o seu número PM e a senha mestra pode realizar lançamentos no sistema, porém a responsabilidade da prestação de contas continua sendo do preposto do convênio.</w:t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01 - Tela de login.</w:t>
      </w:r>
    </w:p>
    <w:p w:rsidR="00000000" w:rsidDel="00000000" w:rsidP="00000000" w:rsidRDefault="00000000" w:rsidRPr="00000000" w14:paraId="00000013">
      <w:pPr>
        <w:spacing w:after="0" w:before="0" w:line="360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4611525" cy="2621685"/>
            <wp:effectExtent b="12700" l="12700" r="12700" t="127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525" cy="2621685"/>
                    </a:xfrm>
                    <a:prstGeom prst="rect"/>
                    <a:ln w="12700">
                      <a:solidFill>
                        <a:srgbClr val="D9E2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vuy2yzequfsd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  <w:tab/>
        <w:t xml:space="preserve">PAINEL ADMINISTRATIVO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autenticação, o usuário será direcionado ao Painel Administrativo do SIC3, onde poderá realizar as seguintes ações:</w:t>
      </w:r>
    </w:p>
    <w:p w:rsidR="00000000" w:rsidDel="00000000" w:rsidP="00000000" w:rsidRDefault="00000000" w:rsidRPr="00000000" w14:paraId="00000016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sgftte3zutw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</w:t>
        <w:tab/>
        <w:t xml:space="preserve">Consulta do histórico mensal de lançamentos de relatórios, filtrando por ano, mês e convênio.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2.2</w:t>
        <w:tab/>
        <w:t xml:space="preserve">Visualização do valor total dos itens lançados em cada mês.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2.3</w:t>
        <w:tab/>
        <w:t xml:space="preserve">Consulta do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edição dos relatórios mensais, se DISPONÍVEL ou INDISPONÍVEL e possibilidade de alteração do status pelo administrador do sistema (Almoxarifado/15ª RPM).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2.4</w:t>
        <w:tab/>
        <w:t xml:space="preserve">Acesso para visualizar, editar ou lançar materiais e serviços para produção dos relatórios mensais.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02 - Painel Administrativo - Visão geral.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6120000" cy="3517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2.5.</w:t>
        <w:tab/>
        <w:t xml:space="preserve">Visualização das informações básicas do convênio: número,  dados do preposto e unidade conveniada.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2.6</w:t>
        <w:tab/>
        <w:t xml:space="preserve">Possibilidade de realizar alteração das informações básicas do convênio.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03 - Painel Administrativo - Formulário de alteração de informações básicas do convênio.</w:t>
      </w:r>
    </w:p>
    <w:p w:rsidR="00000000" w:rsidDel="00000000" w:rsidP="00000000" w:rsidRDefault="00000000" w:rsidRPr="00000000" w14:paraId="00000028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rv0xuifxgols" w:id="6"/>
      <w:bookmarkEnd w:id="6"/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20000" cy="3492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2.7</w:t>
        <w:tab/>
        <w:t xml:space="preserve">Possibilidade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pesquisar materiais de consumo, permitindo ao usuário buscar informações de itens como materiais de escritório, suprimentos de limpeza, e outros materiais por meio de palavras-chave, com exibição de informações detalhadas dos itens, como código, elemento de despesa, e unidade de distribuição.</w:t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04 - Painel Administrativo - Pesquisa de Materiais de Consumo.</w:t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6120000" cy="3517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mpjwm2ku86ts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</w:t>
        <w:tab/>
        <w:t xml:space="preserve">PAINEL DE LANÇAMENTOS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selecionar o mês desejado clicando no botão “VISUALIZAR”, “VER / EDITAR” ou “LANÇAR”, o usuário será direcionado ao Painel de Lançamentos do SIC3, onde poderá realizar as seguintes ações:</w:t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a9w1vsrtlca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51m0o1mobj9m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3.1</w:t>
        <w:tab/>
        <w:t xml:space="preserve">MODO “VISUALIZAR”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3.1.1</w:t>
        <w:tab/>
        <w:t xml:space="preserve">Estará disponível quando a edição ou lançamento de materiais e serviços estiver bloqueada, isso ocorrerá após o prazo determinado para a realização da tarefa.</w:t>
      </w:r>
    </w:p>
    <w:p w:rsidR="00000000" w:rsidDel="00000000" w:rsidP="00000000" w:rsidRDefault="00000000" w:rsidRPr="00000000" w14:paraId="00000033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3.1.2</w:t>
        <w:tab/>
        <w:t xml:space="preserve">Possível verificação das informações primárias do relatório, como ano, mês, número do convênio e dados do preposto e da unidade conveniada.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3.1.3</w:t>
        <w:tab/>
        <w:t xml:space="preserve">Botões para geração dos Anexos “D” e “Único” no formato PDF.</w:t>
      </w:r>
    </w:p>
    <w:p w:rsidR="00000000" w:rsidDel="00000000" w:rsidP="00000000" w:rsidRDefault="00000000" w:rsidRPr="00000000" w14:paraId="00000035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05 - Painel de Lançamentos - Informações primárias.</w:t>
      </w:r>
    </w:p>
    <w:p w:rsidR="00000000" w:rsidDel="00000000" w:rsidP="00000000" w:rsidRDefault="00000000" w:rsidRPr="00000000" w14:paraId="00000037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6120000" cy="32512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3.1.4</w:t>
        <w:tab/>
        <w:t xml:space="preserve">Visualização detalhada dos lançamentos realizados no período, distribuídos em três blocos: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3.1.4.1</w:t>
        <w:tab/>
        <w:t xml:space="preserve">LANÇAMENTOS GERAIS: reúne os lançamentos de serviços, materiais de consumo e materiais permanentes, bem como os lançamentos de abastecimento e serviços de manutenção de viatura condensados por tipo. Esse bloco será utilizado principalmente para gerar o Anexo “D”.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3.1.4.2</w:t>
        <w:tab/>
        <w:t xml:space="preserve">CONTROLE DE ABASTECIMENTOS: reúne informações detalhadas de cada abastecimento realizado. Esse bloco é importante para gerar o Anexo “Único”.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3.1.4.3</w:t>
        <w:tab/>
        <w:t xml:space="preserve">CONTROLE DE SERVIÇOS DE MANUTENÇÃO DE VIATURAS: reúne informações detalhadas de todos os serviços de manutenção realizados em viaturas. Esse bloco é importante para gerar o Anexo “Único”.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06 - Painel de Lançamentos - Bloco de Lançamentos Gerais.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378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07 - Painel de Lançamentos - Bloco de Controle de Abastecimentos e de Controle de Serviços de Manutenção de Viaturas.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4152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34p33dq7u5d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9dm3mp4p3n1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3cf6ub4fhgqa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3.2</w:t>
        <w:tab/>
        <w:t xml:space="preserve">MODO “VER / EDITAR”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3.2.1</w:t>
        <w:tab/>
        <w:t xml:space="preserve">Essa funcionalidade estará disponível quando já houver informações lançadas e salvas de um relatório de determinado período e o prazo para a finalização de lançamento dos serviços e materiais adquiridos/contratados daquele relatório estiver vigente ou, após o prazo, quando o administrador do Sistema desbloquear o relatório para edição a pedido do preposto ou de ofício, por necessidade de retificação.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08 - Painel de Lançamentos - Modo de edição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20000" cy="3111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3.2.2</w:t>
        <w:tab/>
        <w:t xml:space="preserve">Esse modo contempla todas as funcionalidades do modo “VISUALIZAR”, mas também permite ao usuário alterar ou excluir informações de qualquer item lançado no relatório e/ou efetuar novas inserções de itens.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09 - Painel de Lançamentos - Em estado de edição.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vvj0fw32yra9" w:id="13"/>
      <w:bookmarkEnd w:id="13"/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20000" cy="22733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rh7tlmom9emr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3.3</w:t>
        <w:tab/>
        <w:t xml:space="preserve">MODO “LANÇAR”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3.3.1</w:t>
        <w:tab/>
        <w:t xml:space="preserve">Esse modo estará disponível enquanto não houver informações salvas de um relatório de determinado período.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3.3.2</w:t>
        <w:tab/>
        <w:t xml:space="preserve">Ao selecionar o relatório no modo “LANÇAR” o usuário será direcionado ao Painel de Lançamentos com todas as funcionalidades disponíveis para inserção de itens, sendo elas: abastecimentos, serviços de manutenção de viatura, serviço como conta de água e esgoto, energia elétrica, internet, telefone, locações, materiais permanentes e materiais de consumo.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10 - Painel de Lançamentos - Funcionalidades do modo “LANÇAR”.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5r5rgtc0etns" w:id="15"/>
      <w:bookmarkEnd w:id="15"/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20000" cy="36703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eu219sk65u8h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4</w:t>
        <w:tab/>
        <w:t xml:space="preserve">LANÇAMENTO DE ITENS DE MATERIAIS E SERVIÇOS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</w:t>
        <w:tab/>
        <w:t xml:space="preserve">ABASTECIMENTO DE VIATURA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4.1.1</w:t>
        <w:tab/>
        <w:t xml:space="preserve">Ao clicar no botão “ABASTECIMENTO”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abrirá um formulário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contendo campos obrigatórios para preenchimento e seleção do tipo de combustível, se gasolina, álcool ou óleo diesel.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4.1.2</w:t>
        <w:tab/>
        <w:t xml:space="preserve">O campo “Nº Nota Fiscal” deve ser preenchido com o número da nota ou cupom fiscal do abastecimento realizado, porém, caso ocorra algum impedimento e o número da nota ou cupom fiscal não esteja disponível, então deverá ser digitado no campo a palavra “INDISPONIVEL”.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4.1.3</w:t>
        <w:tab/>
        <w:t xml:space="preserve">No campo “Quantidade” deve ser informado a quantidade de litros de combustível e no campo “Valor Unitário” o valor pago por litro. O valor total do abastecimento será calculado automaticamente.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11 - Painel de Lançamentos - Formulário de abastecimento de viatura.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20000" cy="46101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2gi9jmcicjx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</w:t>
        <w:tab/>
        <w:t xml:space="preserve">SERVIÇOS DE MANUTENÇÃO DE VIATURA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4.2.1</w:t>
        <w:tab/>
        <w:t xml:space="preserve">Ao clicar no botão “MANUTENÇÃO”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abrirá um formulário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contendo campos obrigatórios para preenchimento e seleção do tipo de veículo, se é de porte leve, médio ou pesado.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4.2.1.1</w:t>
        <w:tab/>
        <w:t xml:space="preserve">Para fins de categorização e padronização, os veículos são classificados em três categorias principais com base no seu Peso Bruto Total (PBT) e na sua finalidade de uso. A seguir, apresenta-se a definição de cada categoria: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Veículos de Porte Leve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São aqueles cujo PBT não ultrapassa 3,5 toneladas. São utilizados, predominantemente, para transporte individual ou de pequenas cargas. Entre os veículos dessa categoria, incluem-se: motocicletas, automóveis de passeio, sedãs, SUVs, furgões e vans de pequeno porte, picapes compactas e médias, caminhões leves.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Veículos de Porte Médio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Esta categoria compreende veículos com PBT entre 3,5 e 16 toneladas, utilizados tanto para transporte de carga quanto para transporte coletivo de passageiros. Exemplos incluem: Caminhões médios, vans, micro-ônibus, ônibus urbanos de menor porte, picapes de grande porte.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Veículos de Porte Pesado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São aqueles com PBT superior a 16 toneladas, projetados para o transporte de grandes volumes de carga ou de passageiros em larga escala. Nessa categoria, incluem-se: Caminhões pesados e extrapesados, utilizados no transporte de cargas volumosas ou de longa distância, ônibus rodoviários e articulados, carretas e combinações veiculares de carga, como bitrens e rodotrens, máquinas pesadas, como guindastes, tratores, retroescavadeiras.</w:t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4.2.2</w:t>
        <w:tab/>
        <w:t xml:space="preserve">No campo “DESCRIÇÃO DO SERVIÇO” deverá ser informada de forma concisa a descrição da mão de obra realizada.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4.2.3</w:t>
        <w:tab/>
        <w:t xml:space="preserve">Por padrão o campo “Quantidade” estará desabilitado e preenchido com o valor “1,00”, por se tratar da mão de obra, corresponde a um serviço realizado.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4.2.4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Peças e outros itens decorrentes da manutenção de veículos devem ser lançados individualmente por meio da pesquisa de materiais de consumo, conforme orientações do respectivo formulário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12 - Painel de Lançamentos - Formulário de serviços de manutenção de viatura.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dtcg6y3oqqmt" w:id="18"/>
      <w:bookmarkEnd w:id="18"/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20000" cy="443230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rzskahij0et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</w:t>
        <w:tab/>
        <w:t xml:space="preserve">SERVIÇOS E MATERIAIS PERMANENTES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4.3.1</w:t>
        <w:tab/>
        <w:t xml:space="preserve">Ao clicar no botão “SERVIÇOS E..”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abrirá uma lista de opções de serviços básicos como tarifa de água e esgoto, energia elétrica, telefone e internet, serviços diversos como locação e limpeza, locação de bens imóveis, máquinas e equipamentos e reparo de bens imóveis, bem como materiais permanentes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mobiliário, equipamento de informática e material para obras.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13 - Painel de Lançamentos - Lista de serviços e materiais permanentes.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6120000" cy="55499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4.3.2</w:t>
        <w:tab/>
        <w:t xml:space="preserve">Para cada tipo de item pode haver campos específicos no formulário, como no caso de tarifa de água e esgoto e energia elétrica, que devem ser informados o endereço da instalação e os números dos respectivos medidores.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4.3.3</w:t>
        <w:tab/>
        <w:t xml:space="preserve">No próprio formulário é possível fazer a adição, edição e exclusão de endereços e medidores.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4.3.3.1</w:t>
        <w:tab/>
        <w:t xml:space="preserve">Em instalações que não existam medidor de consumo de água ou de energia elétrica deverá ser inserido no respectivo campo do medidor o termo “INEXISTENTE”.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4.3.3.2</w:t>
        <w:tab/>
        <w:t xml:space="preserve">A responsabilidade de manter as informações de endereços e número dos medidores atualizados é do preposto do convênio.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14 - Painel de Lançamentos - Formulário de tarifa de energia elétrica.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20000" cy="4495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</w:t>
        <w:tab/>
        <w:t xml:space="preserve">MATERIAIS DE CONSUMO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4.4.1</w:t>
        <w:tab/>
        <w:t xml:space="preserve">Os materiais de consumo estão disponíveis na tabela localizada na parte inferior do Painel de Lançamentos. Inicialmente a tabela será alimentada com a base de dados primária, que contém os itens recentemente utilizados e os mais utilizados. 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4.4.2</w:t>
        <w:tab/>
        <w:t xml:space="preserve">A pesquisa pode ser realizada por meio do código do item, da descrição resumida e da descrição detalhada, de forma individual ou combinada, utilizando uma ou mais palavras chaves (ou partes de palavras) separadas por espaço.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15 - Painel de Lançamentos - Pesquisa de materiais de consumo.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6120000" cy="3048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4.4.3</w:t>
        <w:tab/>
        <w:t xml:space="preserve">Caso o item não seja encontrado na base de dados primária, o usuário poderá apertar a tecla “ENTER” no campo de pesquisa para que o sistema efetue a consulta na base de dados secundária. Esse banco de dados possui mais de 40 mil itens de materiais de consumo.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4.4.4</w:t>
        <w:tab/>
        <w:t xml:space="preserve">A pesquisa na base de dados secundária pode ser realizada a qualquer tempo, mesmo que a mensagem “Nenhum resultado encontrado no banco de dados primário” não apareça, mas a descrição dos itens disponíveis na base de dados primária não correspondam ao item desejado. 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16 - Painel de Lançamentos - Pesquisa de materiais de consumo - Item não encontrado.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20000" cy="18796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17 - Painel de Lançamentos - Pesquisa de materiais de consumo no banco de dados secundário.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20000" cy="20574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18 - Painel de Lançamentos - Pesquisa de materiais de consumo - Item encontrado no banco de dados secundário.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20000" cy="19431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4.4.5</w:t>
        <w:tab/>
        <w:t xml:space="preserve">Ao localizar o item desejado, o usuário deverá clicar no botão “+” à direita do item, onde aparecerá o respectivo formulário.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4.4.6</w:t>
        <w:tab/>
        <w:t xml:space="preserve">Via de regra a descrição do item adquirido por meio do convênio deve corresponder fielmente à descrição do item pesquisado, porém, caso não exista na base de dados primária ou secundária o item exato, o usuário poderá utilizar um item com descrição aproximada e deverá justificar no campo “OBSERVAÇÃO” o fato e a descrição correta do item.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4.4.7</w:t>
        <w:tab/>
        <w:t xml:space="preserve">Para o formulário de materiais de consumo o usuário deverá selecionar o elemento de despesa e a unidade de distribuição.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4.4.7.1</w:t>
        <w:tab/>
        <w:t xml:space="preserve"> Cada convênio possui uma relação de elementos de despesa permitidos. É vedado ao preposto do convênio adquirir itens e inserir no sistema itens com elementos de despesa que não estão previstos no respectivo convênio.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4.4.7.2</w:t>
        <w:tab/>
        <w:t xml:space="preserve">Para peças de manutenção de veículos deverá ser utilizado o elemento de despesa “2023 - MATERIAL PARA MANUTENCAO DE VEICULOS AUTOMOTORES”.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4.4.7.3 Para óleo lubrificante de motor deverá ser utilizado o elemento de despesa “2026 - COMBUSTIVEIS E LUBRIFICANTES PARA VEICULOS AUTOMOTORES”.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19 - Painel de Lançamentos - Pesquisa de materiais de consumo - Formulário.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20000" cy="4699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0" w:before="0" w:line="360" w:lineRule="auto"/>
        <w:jc w:val="both"/>
        <w:rPr/>
      </w:pPr>
      <w:bookmarkStart w:colFirst="0" w:colLast="0" w:name="_o0ajsz4rvs4o" w:id="20"/>
      <w:bookmarkEnd w:id="2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SALVAMENTO E GERAÇÃO DOS ANEXOS “D” E “ÚNICO”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5"/>
        <w:keepNext w:val="0"/>
        <w:keepLines w:val="0"/>
        <w:spacing w:after="0" w:before="0" w:line="360" w:lineRule="auto"/>
        <w:jc w:val="both"/>
        <w:rPr>
          <w:b w:val="0"/>
          <w:bCs w:val="0"/>
        </w:rPr>
      </w:pPr>
      <w:bookmarkStart w:colFirst="0" w:colLast="0" w:name="_6h9c9d2dp9oj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.1</w:t>
        <w:tab/>
        <w:t xml:space="preserve">SALVAMENTO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5.1.1</w:t>
        <w:tab/>
        <w:t xml:space="preserve">No modo de edição e lançamento as informações inseridas podem ser salvas a qualquer tempo clicando no botão “SALVAR”.</w:t>
      </w:r>
    </w:p>
    <w:p w:rsidR="00000000" w:rsidDel="00000000" w:rsidP="00000000" w:rsidRDefault="00000000" w:rsidRPr="00000000" w14:paraId="000000A6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5.1.2</w:t>
        <w:tab/>
        <w:t xml:space="preserve">O salvamento do relatório pode ser realizado de forma parcial, permitindo realizar inserções à medida que surgirem as demandas, desde que esteja dentro do prazo de lançamento para o período selecionado ou o relatório esteja desbloqueado para edição.</w:t>
      </w:r>
    </w:p>
    <w:p w:rsidR="00000000" w:rsidDel="00000000" w:rsidP="00000000" w:rsidRDefault="00000000" w:rsidRPr="00000000" w14:paraId="000000A7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5.1.3</w:t>
        <w:tab/>
        <w:t xml:space="preserve">Após a conclusão do salvamento o relatório será apresentado no modo de visualização contendo os botões “GERAR ANEXO D”, “GERAR ANEXO ÚNICO” e “EDITAR”, permitindo ao usuário gerar os relatórios em PDF ou retornar ao modo de edição.</w:t>
      </w:r>
    </w:p>
    <w:p w:rsidR="00000000" w:rsidDel="00000000" w:rsidP="00000000" w:rsidRDefault="00000000" w:rsidRPr="00000000" w14:paraId="000000A8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5.2 GERAÇÃO DO ANEXOS “D” E “ÚNICO”</w:t>
      </w:r>
    </w:p>
    <w:p w:rsidR="00000000" w:rsidDel="00000000" w:rsidP="00000000" w:rsidRDefault="00000000" w:rsidRPr="00000000" w14:paraId="000000A9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5.2.1 Ao clicar nos botões “GERAR ANEXO D” e “GERAR ANEXO ÚNICO” o sistema reunirá todas as informações do convênio, dados do preposto e lançamentos de serviços e materiais para gerar os referidos anexos em arquivo PDF, salvando na pasta de download padrão do navegador com um nome de arquivo padronizado contendo o tipo do anexo, o ano e mês numérico correspondente ao período do relatório e o nome municipio conveniado.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20 - Modelos de Anexos “D” e “Ùnico” salvos com nomes padronizados.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72175" cy="29718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5.2.2</w:t>
        <w:tab/>
        <w:t xml:space="preserve">O modelo dos relatórios gerados são padronizados e seguem as exigências estabelecidas nas documentações de referência descritas neste memorando.</w:t>
      </w:r>
    </w:p>
    <w:p w:rsidR="00000000" w:rsidDel="00000000" w:rsidP="00000000" w:rsidRDefault="00000000" w:rsidRPr="00000000" w14:paraId="000000AE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21 - Modelo de Anexo “D” gerado pelo SIC3 v1.0 - Página 1.</w:t>
      </w:r>
    </w:p>
    <w:p w:rsidR="00000000" w:rsidDel="00000000" w:rsidP="00000000" w:rsidRDefault="00000000" w:rsidRPr="00000000" w14:paraId="000000B0">
      <w:pPr>
        <w:spacing w:after="0" w:before="0" w:line="360" w:lineRule="auto"/>
        <w:jc w:val="both"/>
        <w:rPr>
          <w:rFonts w:ascii="Arial" w:cs="Arial" w:eastAsia="Arial" w:hAnsi="Arial"/>
          <w:i w:val="1"/>
          <w:iCs w:val="1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6120000" cy="4318000"/>
            <wp:effectExtent b="12700" l="12700" r="12700" t="127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1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22 - Modelo de Anexo “D” gerado pelo SIC3 v1.0 - Página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4318000"/>
            <wp:effectExtent b="12700" l="12700" r="12700" t="1270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1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5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93tj8oh76ty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23 - Modelo de Anexo “Único” gerado pelo SIC3 v1.0 - Página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20000" cy="4318000"/>
            <wp:effectExtent b="12700" l="12700" r="12700" t="127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1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24 - Modelo de Anexo “Único” gerado pelo SIC3 v1.0 - Página 2.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6120000" cy="4318000"/>
            <wp:effectExtent b="12700" l="12700" r="12700" t="1270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1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Figura 25 - Modelo de Anexo “Único” gerado pelo SIC3 v1.0 - Página 3.</w:t>
      </w:r>
    </w:p>
    <w:p w:rsidR="00000000" w:rsidDel="00000000" w:rsidP="00000000" w:rsidRDefault="00000000" w:rsidRPr="00000000" w14:paraId="000000BF">
      <w:pPr>
        <w:spacing w:line="360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</w:rPr>
        <w:drawing>
          <wp:inline distB="114300" distT="114300" distL="114300" distR="114300">
            <wp:extent cx="6082763" cy="7953375"/>
            <wp:effectExtent b="12700" l="12700" r="12700" t="1270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2763" cy="79533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a"/>
          <w:sz w:val="22"/>
          <w:szCs w:val="22"/>
        </w:rPr>
      </w:pPr>
      <w:bookmarkStart w:colFirst="0" w:colLast="0" w:name="_ocvk1acacak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a"/>
          <w:sz w:val="22"/>
          <w:szCs w:val="22"/>
        </w:rPr>
      </w:pPr>
      <w:bookmarkStart w:colFirst="0" w:colLast="0" w:name="_i87ywmdeo3r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360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33" w:type="default"/>
      <w:pgSz w:h="16838" w:w="11906" w:orient="portrait"/>
      <w:pgMar w:bottom="1106.574803149607" w:top="1133.8582677165355" w:left="1133.8582677165355" w:right="1133.8582677165355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1.png"/><Relationship Id="rId21" Type="http://schemas.openxmlformats.org/officeDocument/2006/relationships/image" Target="media/image25.png"/><Relationship Id="rId24" Type="http://schemas.openxmlformats.org/officeDocument/2006/relationships/image" Target="media/image19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7.png"/><Relationship Id="rId25" Type="http://schemas.openxmlformats.org/officeDocument/2006/relationships/image" Target="media/image2.png"/><Relationship Id="rId28" Type="http://schemas.openxmlformats.org/officeDocument/2006/relationships/image" Target="media/image8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5.png"/><Relationship Id="rId7" Type="http://schemas.openxmlformats.org/officeDocument/2006/relationships/hyperlink" Target="https://sites.google.com/view/15rpm/p/almox/sic3" TargetMode="External"/><Relationship Id="rId8" Type="http://schemas.openxmlformats.org/officeDocument/2006/relationships/image" Target="media/image6.png"/><Relationship Id="rId31" Type="http://schemas.openxmlformats.org/officeDocument/2006/relationships/image" Target="media/image22.png"/><Relationship Id="rId30" Type="http://schemas.openxmlformats.org/officeDocument/2006/relationships/image" Target="media/image4.png"/><Relationship Id="rId11" Type="http://schemas.openxmlformats.org/officeDocument/2006/relationships/image" Target="media/image9.png"/><Relationship Id="rId33" Type="http://schemas.openxmlformats.org/officeDocument/2006/relationships/footer" Target="footer1.xml"/><Relationship Id="rId10" Type="http://schemas.openxmlformats.org/officeDocument/2006/relationships/image" Target="media/image26.png"/><Relationship Id="rId32" Type="http://schemas.openxmlformats.org/officeDocument/2006/relationships/image" Target="media/image21.png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24.png"/><Relationship Id="rId16" Type="http://schemas.openxmlformats.org/officeDocument/2006/relationships/image" Target="media/image13.png"/><Relationship Id="rId19" Type="http://schemas.openxmlformats.org/officeDocument/2006/relationships/image" Target="media/image23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