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业务基线 V0.1（正式冻结版）</w:t>
      </w:r>
    </w:p>
    <w:p>
      <w:r>
        <w:t>&gt; 版本：V0.1（冻结版，店长已签字同意）</w:t>
      </w:r>
    </w:p>
    <w:p>
      <w:r>
        <w:t>&gt; 冻结日期：2026-10-06</w:t>
      </w:r>
    </w:p>
    <w:p>
      <w:r>
        <w:t>&gt; 上游：业务定位确认（C1）通过，店长审阅并采纳改进意见</w:t>
      </w:r>
    </w:p>
    <w:p>
      <w:r>
        <w:t>&gt; 下游：作为《业务分析报告》的输入；业务分析报告确认（C2）后将升级为 V1.0</w:t>
      </w:r>
    </w:p>
    <w:p>
      <w:pPr>
        <w:pStyle w:val="Heading1"/>
      </w:pPr>
      <w:r>
        <w:t>一、业务基本定位</w:t>
      </w:r>
    </w:p>
    <w:p>
      <w:pPr>
        <w:ind w:left="420"/>
      </w:pPr>
      <w:r>
        <w:t>• 业务名称：健身房会员运营与课程服务业务</w:t>
      </w:r>
    </w:p>
    <w:p>
      <w:pPr>
        <w:ind w:left="420"/>
      </w:pPr>
      <w:r>
        <w:t>• 一句话定位：面向单店健身房，将会员—会籍—课程—预约—签到—收费—预警统一管理，并以微信小程序为会员入口，重点以会员流失/爽约预警、体验转化跟进、私教业绩透明提升留存、转化与效率。</w:t>
      </w:r>
    </w:p>
    <w:p>
      <w:pPr>
        <w:ind w:left="420"/>
      </w:pPr>
      <w:r>
        <w:t>• 服务对象：健身会员（个人，小程序）、门店运营方（店长/会籍/私教）</w:t>
      </w:r>
    </w:p>
    <w:p>
      <w:pPr>
        <w:ind w:left="420"/>
      </w:pPr>
      <w:r>
        <w:t>• 付费与价值承担：会员购卡购课付费；门店承担系统价值（留存提升、浪费降低、转化提升、提成透明）</w:t>
      </w:r>
    </w:p>
    <w:p>
      <w:pPr>
        <w:ind w:left="420"/>
      </w:pPr>
      <w:r>
        <w:t>• 系统初步定位：单店运营管理支撑系统（会员小程序 + 门店 Web 后台）+ 流失/爽约预警 + 体验转化 + 私教提成</w:t>
      </w:r>
    </w:p>
    <w:p>
      <w:pPr>
        <w:pStyle w:val="Heading1"/>
      </w:pPr>
      <w:r>
        <w:t>二、范围边界</w:t>
      </w:r>
    </w:p>
    <w:p>
      <w:pPr>
        <w:ind w:left="420"/>
      </w:pPr>
      <w:r>
        <w:t>• 范围内：会员会籍、课程排课、预约签到（小程序+代签）、收费续费、体测记录、私教业绩与提成、投诉工单、运营报表、会员流失/爽约预警</w:t>
      </w:r>
    </w:p>
    <w:p>
      <w:pPr>
        <w:ind w:left="420"/>
      </w:pPr>
      <w:r>
        <w:t>• 范围外（后续切片）：多门店连锁、器材采购供应链、财务总账、硬件门禁/闸机、直播课</w:t>
      </w:r>
    </w:p>
    <w:p>
      <w:pPr>
        <w:pStyle w:val="Heading1"/>
      </w:pPr>
      <w:r>
        <w:t>三、结构化模型索引（可追溯锚点）</w:t>
      </w:r>
    </w:p>
    <w:p>
      <w:r>
        <w:t>本基线固定以下编号，后续需求、测试、设计、代码均须引用同一套编号：</w:t>
      </w:r>
    </w:p>
    <w:p>
      <w:pPr>
        <w:ind w:left="420"/>
      </w:pPr>
      <w:r>
        <w:t>• 核心业务对象（8）：会员、会籍合同、课程、预约、器材、体测记录、收费订单、工单（投诉/报修/受伤）</w:t>
      </w:r>
    </w:p>
    <w:p>
      <w:pPr>
        <w:ind w:left="420"/>
      </w:pPr>
      <w:r>
        <w:t>• 业务板块 B1–B8：B1 会籍管理、B2 会员服务、B3 课程与排课、B4 预约与签到、B5 收费与财务（含私教业绩与提成）、B6 器材与场地、B7 体测与数据、B8 运营报表与预警（含工单看板）</w:t>
      </w:r>
    </w:p>
    <w:p>
      <w:pPr>
        <w:ind w:left="420"/>
      </w:pPr>
      <w:r>
        <w:t>• 业务角色（6）：会员、会籍顾问、私教、店长、财务、系统管理员</w:t>
      </w:r>
    </w:p>
    <w:p>
      <w:pPr>
        <w:ind w:left="420"/>
      </w:pPr>
      <w:r>
        <w:t>• 业务活动 A1–A11：办卡续费、体测建档、排课、约课、签到、上课、流失风险评分、爽约预测、预警干预、对账、私教业绩与提成统计</w:t>
      </w:r>
    </w:p>
    <w:p>
      <w:pPr>
        <w:ind w:left="420"/>
      </w:pPr>
      <w:r>
        <w:t>• 业务规则 R1–R10：会籍有效期、请假冻结、约课上限与冲突、爽约惩罚(N=3)、课包核销、到期提醒(D=7)、流失风险规则、爽约预测规则(T=0.6)、新会员首月跟进、私教业绩提成</w:t>
      </w:r>
    </w:p>
    <w:p>
      <w:pPr>
        <w:pStyle w:val="Heading1"/>
      </w:pPr>
      <w:r>
        <w:t>四、量化目标与关键参数（店长确认）</w:t>
      </w:r>
    </w:p>
    <w:p>
      <w:pPr>
        <w:ind w:left="420"/>
      </w:pPr>
      <w:r>
        <w:t>• 经营目标：月流失率 8%→5%；爽约率 25%→15%；体验转化 30%→40%</w:t>
      </w:r>
    </w:p>
    <w:p>
      <w:pPr>
        <w:ind w:left="420"/>
      </w:pPr>
      <w:r>
        <w:t>• 规则参数：R4 N=3、R6 D=7、R8 T=0.6</w:t>
      </w:r>
    </w:p>
    <w:p>
      <w:pPr>
        <w:ind w:left="420"/>
      </w:pPr>
      <w:r>
        <w:t>• 体测指标：身高/体重/BMI/体脂率/围度</w:t>
      </w:r>
    </w:p>
    <w:p>
      <w:pPr>
        <w:ind w:left="420"/>
      </w:pPr>
      <w:r>
        <w:t>• 课包：会籍月/季/年；私教单次/10次/30次包</w:t>
      </w:r>
    </w:p>
    <w:p>
      <w:pPr>
        <w:ind w:left="420"/>
      </w:pPr>
      <w:r>
        <w:t>• 签到：会员二维码自助 + 前台代签</w:t>
      </w:r>
    </w:p>
    <w:p>
      <w:pPr>
        <w:pStyle w:val="Heading1"/>
      </w:pPr>
      <w:r>
        <w:t>五、基线管理规则</w:t>
      </w:r>
    </w:p>
    <w:p>
      <w:pPr>
        <w:ind w:left="420"/>
      </w:pPr>
      <w:r>
        <w:t>• 基线冻结不等于不可修改；任何修改必须以新版本方式进行。</w:t>
      </w:r>
    </w:p>
    <w:p>
      <w:pPr>
        <w:ind w:left="420"/>
      </w:pPr>
      <w:r>
        <w:t>• 版本演进：V0.1（业务定位，已冻结）→ V1.0（业务分析报告确认后，含完整结构与流程）。</w:t>
      </w:r>
    </w:p>
    <w:p>
      <w:pPr>
        <w:ind w:left="420"/>
      </w:pPr>
      <w:r>
        <w:t>• 变更须同步评估对下游文档、测试与代码的影响，并在《开放问题台账》中闭环。</w:t>
      </w:r>
    </w:p>
    <w:p>
      <w:pPr>
        <w:ind w:left="420"/>
      </w:pPr>
      <w:r>
        <w:t>• 同名概念在各层文档中的含义与编号必须保持一致（图文互证、可追溯）。</w:t>
      </w:r>
    </w:p>
    <w:p>
      <w:pPr>
        <w:pStyle w:val="Heading1"/>
      </w:pPr>
      <w:r>
        <w:t>六、关联文档</w:t>
      </w:r>
    </w:p>
    <w:p>
      <w:pPr>
        <w:ind w:left="420"/>
      </w:pPr>
      <w:r>
        <w:t>• 《业务定位说明》</w:t>
      </w:r>
    </w:p>
    <w:p>
      <w:pPr>
        <w:ind w:left="420"/>
      </w:pPr>
      <w:r>
        <w:t>• 《业务定位确认记录》</w:t>
      </w:r>
    </w:p>
    <w:p>
      <w:pPr>
        <w:ind w:left="420"/>
      </w:pPr>
      <w:r>
        <w:t>• 《开放问题台账》</w:t>
      </w:r>
    </w:p>
    <w:p>
      <w:pPr>
        <w:ind w:left="420"/>
      </w:pPr>
      <w:r>
        <w:t>• 《业务分析报告》（进行中，确认后产出 V1.0）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