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开放问题闭环记录</w:t>
      </w:r>
    </w:p>
    <w:p>
      <w:r>
        <w:t>&gt; 所属阶段：第三阶段（业务确认、业务基线演进与业务流程优化）</w:t>
      </w:r>
    </w:p>
    <w:p>
      <w:r>
        <w:t>&gt; 关联文档：《开放问题台账》《业务基线 V1.0》《业务基线确认记录》</w:t>
      </w:r>
    </w:p>
    <w:p>
      <w:pPr>
        <w:pStyle w:val="Heading1"/>
      </w:pPr>
      <w:r>
        <w:t>一、C1 阶段开放问题闭环（Q1–Q8）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问题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责任人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结论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关闭日期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回流版本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状态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经营目标具体数值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流失 8%→5%；爽约 25%→15%；转化 30%→40%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到期提醒天数 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D = 7 天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爽约概率阈值 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产品+店长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T = 0.6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爽约次数上限 N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N = 3 次（限制预约 7 天）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Q5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是否仅单店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产品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单店运营，暂不做多租户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体测指标具体项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私教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身高/体重/BMI/体脂率/围度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Q7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私教课包类型与定价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会籍月/季/年；私教单次/10次/30次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Q8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签到方式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产品+店长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会员二维码自助 + 前台代签兜底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2026-10-06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V0.1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</w:tr>
    </w:tbl>
    <w:p>
      <w:r>
        <w:rPr>
          <w:b/>
        </w:rPr>
        <w:t>阶段结论</w:t>
      </w:r>
      <w:r>
        <w:t>：C1 提出的 8 项开放问题全部关闭，结论已回流《业务基线 V0.1》，无遗留阻塞项。</w:t>
      </w:r>
    </w:p>
    <w:p>
      <w:pPr>
        <w:pStyle w:val="Heading1"/>
      </w:pPr>
      <w:r>
        <w:t>二、C2 评审新提出问题（Q9–Q11）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问题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所属模块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责任人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计划解决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对下游影响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Q9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会员端小程序与支付渠道选型（微信支付商户号申请、主体资质）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系统边界/接口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系统建设负责人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第四阶段（需求分析）前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待关闭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影响支付与约课实现方案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Q10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提醒通道选择（小程序订阅消息 vs 短信）及成本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外部接口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产品+店长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第七阶段（接口设计）前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待关闭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影响提醒功能与运行成本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Q11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私教排课权限边界（私教能否自行改课/释放名额）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角色权限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店长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第四阶段（权限设计）前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待关闭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影响角色权限模型</w:t>
            </w:r>
          </w:p>
        </w:tc>
      </w:tr>
    </w:tbl>
    <w:p>
      <w:r>
        <w:rPr>
          <w:b/>
        </w:rPr>
        <w:t>阶段结论</w:t>
      </w:r>
      <w:r>
        <w:t>：新提出 3 项问题，均不影响本次业务基线冻结，转入后续阶段按计划关闭。</w:t>
      </w:r>
    </w:p>
    <w:p>
      <w:pPr>
        <w:pStyle w:val="Heading1"/>
      </w:pPr>
      <w:r>
        <w:t>三、闭环统计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/>
        </w:tc>
        <w:tc>
          <w:tcPr>
            <w:tcW w:type="dxa" w:w="4323"/>
          </w:tcPr>
          <w:p/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数量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C1 提出问题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已关闭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C2 新提出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当前遗留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3（待后续阶段关闭，非阻塞）</w:t>
            </w:r>
          </w:p>
        </w:tc>
      </w:tr>
    </w:tbl>
    <w:p>
      <w:pPr>
        <w:pStyle w:val="Heading1"/>
      </w:pPr>
      <w:r>
        <w:t>四、闭环规则</w:t>
      </w:r>
    </w:p>
    <w:p>
      <w:pPr>
        <w:ind w:left="420"/>
      </w:pPr>
      <w:r>
        <w:t>• 问题关闭须有明确结论、责任人与关闭日期，并回流到对应基线版本。</w:t>
      </w:r>
    </w:p>
    <w:p>
      <w:pPr>
        <w:ind w:left="420"/>
      </w:pPr>
      <w:r>
        <w:t>• 进入实现范围的需求，其依赖的开放问题须先关闭，否则标记为风险。</w:t>
      </w:r>
    </w:p>
    <w:p>
      <w:pPr>
        <w:ind w:left="420"/>
      </w:pPr>
      <w:r>
        <w:t>• 跨阶段问题按"计划解决阶段"跟踪，避免长期挂起。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