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业务—系统需求追溯矩阵</w:t>
      </w:r>
    </w:p>
    <w:p>
      <w:r>
        <w:t>&gt; 所属阶段：第四阶段（目标系统需求分析报告）</w:t>
      </w:r>
    </w:p>
    <w:p>
      <w:r>
        <w:t>&gt; 用途：建立"业务活动/规则 → 系统需求 → 模块 → 切片"的双向追溯，确保每条需求可回溯到业务依据，防止需求无来源或业务无落点。</w:t>
      </w:r>
    </w:p>
    <w:p>
      <w:pPr>
        <w:pStyle w:val="Heading1"/>
      </w:pPr>
      <w:r>
        <w:t>一、业务活动 → 系统需求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业务活动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系统需求编号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模块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切片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优先级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A1 办卡/续费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REQ-B1-002、REQ-B1-004、REQ-B5-001、REQ-B1-001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M1/M5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S1/S2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Must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A2 体测建档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REQ-B7-001、REQ-B7-002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M7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S3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Should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A3 排课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REQ-B3-001、REQ-B3-002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M3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Must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A4 约课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REQ-B4-001、REQ-B4-005、REQ-B5-002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M4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Must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A5 签到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REQ-B4-002、REQ-B4-003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M4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Must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A6 上课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REQ-B5-002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Must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A7 流失风险评分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REQ-B8-001、REQ-B8-002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M8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S4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Should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A8 爽约预测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REQ-B8-003、REQ-B8-004、REQ-B8-005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M8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S4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Should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A9 预警干预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REQ-B2-001、REQ-B2-002、REQ-B8-006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M2/M8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S3/S4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Should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A10 对账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REQ-B5-003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Must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A11 私教业绩与提成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REQ-B5-005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S3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Should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投诉/受伤处理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REQ-B8-007、REQ-B8-008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M8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Could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器材状态管理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REQ-B6-001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M6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Could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业务规则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系统需求编号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所属切片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R1 会籍有效期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REQ-B4-001、REQ-B1-005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R2 请假冻结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REQ-B1-003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R3 约课上限与冲突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REQ-B3-001、REQ-B4-001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R4 爽约惩罚(N=3)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REQ-B4-004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R5 私教课包核销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REQ-B5-002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R6 到期提醒(D=7)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REQ-B1-004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R7 流失风险规则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REQ-B8-001、REQ-B8-002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S4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R8 爽约预测规则(T=0.6)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REQ-B8-003、REQ-B8-004、REQ-B8-005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S4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R9 新会员首月跟进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REQ-B2-001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S3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R10 私教业绩提成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REQ-B5-005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S3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需求编号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业务来源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说明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REQ-M0-001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B1–B8 全角色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支撑性需求，来源为《用户角色与权限说明》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REQ-M0-002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基础数据（字典/课程/器材）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来源为业务结构与对象定义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REQ-M0-003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审计留痕（合规）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来源为 §5 业务背景合规要求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REQ-B5-004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支付异常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来源为 §10 异常与补偿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REQ-B5-006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会籍过期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来源为 R1/R7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REQ-B8-009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数据化决策痛点 P8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  <w:t>来源为业务痛点 P8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>
      <w:pPr>
        <w:pStyle w:val="Heading1"/>
      </w:pPr>
      <w:r>
        <w:t>二、业务规则 → 系统需求</w:t>
      </w:r>
    </w:p>
    <w:p>
      <w:pPr>
        <w:pStyle w:val="Heading1"/>
      </w:pPr>
      <w:r>
        <w:t>三、系统需求 → 业务依据（反向，防无源需求）</w:t>
      </w:r>
    </w:p>
    <w:p>
      <w:r>
        <w:rPr>
          <w:b/>
        </w:rPr>
        <w:t>结论</w:t>
      </w:r>
      <w:r>
        <w:t>：本矩阵中所有系统需求均可回溯到至少一个业务活动、业务规则或业务痛点，无"无源需求"；反向检查显示 A1–A11 全部有对应系统需求，无"无落点活动"。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