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关键规则—需求—测试溯源表</w:t>
      </w:r>
    </w:p>
    <w:p>
      <w:r>
        <w:t>&gt; 所属阶段：第四阶段（目标系统需求分析报告）</w:t>
      </w:r>
    </w:p>
    <w:p>
      <w:r>
        <w:t>&gt; 用途：对关键业务规则，建立"业务规则 → 系统需求 → 行为驱动测试场景"的溯源，确保关键规则可测试、可验收。</w:t>
      </w:r>
    </w:p>
    <w:p>
      <w:r>
        <w:t>&gt; 测试表达：Given—When—Then（可沉淀为 .feature 文件）</w:t>
      </w:r>
    </w:p>
    <w:p>
      <w:pPr>
        <w:pStyle w:val="Heading1"/>
      </w:pPr>
      <w:r>
        <w:t>一、溯源表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业务规则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系统规则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系统需求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测试场景（Given—When—Then）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R1 会籍有效期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REQ-B4-001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会员会籍已过期，When 提交预约，Then 拒绝并提示"会籍过期"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R2 请假冻结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REQ-B1-003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会籍处于冻结，When 发起约课，Then 系统禁止并提示冻结中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R3 约课冲突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REQ-B3-001、REQ-B4-001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课程已满员，When 提交预约，Then 拒绝并可选进入候补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R3 时间冲突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REQ-B4-001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会员已有同时段预约，When 再约同时段课程，Then 拒绝并提示冲突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R4 爽约惩罚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REQ-B4-004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会员累计爽约 3 次，When 尝试预约，Then 7 天内预约被限制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R5 课包核销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REQ-B5-002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会员课包剩余 1 次，When 结课，Then 余额扣至 0 且再排课被拒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R6 到期提醒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REQ-B1-004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会籍距到期 7 天，When 触发每日任务，Then 生成续费提醒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R7 流失风险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REQ-B8-002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会员连续 4 周未到店，When 执行日评分，Then 标记高风险并生成跟进任务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R7 爽约率风险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REQ-B8-002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会员近 30 天爽约率 40%，When 执行日评分，Then 标记高风险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R8 爽约预测（提醒）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REQ-B8-005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预约爽约概率 0.7 且课程未满，When 课程开始前，Then 发送提醒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R8 爽约预测（释放）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REQ-B8-004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预约爽约概率 0.7 且课程满员，When 触发预测，Then 释放名额并通知候补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R9 首月跟进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SYS-R9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REQ-B2-001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会员办卡 30 天到店 1 次，When 执行日评分，Then 生成跟进任务并分配会籍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R10 提成核算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SYS-R10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REQ-B5-005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Given 教练当月课消 40 次、比例已配置，When 月末结算，Then 生成提成报表且可下钻</w:t>
            </w:r>
          </w:p>
        </w:tc>
      </w:tr>
    </w:tbl>
    <w:p>
      <w:pPr>
        <w:pStyle w:val="Heading1"/>
      </w:pPr>
      <w:r>
        <w:t>二、行为驱动测试示例（.feature 草案）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Feature: 约课校验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Scenario: 会籍过期不可约课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Given 会员"张三"的会籍状态为"过期"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When 该会员提交课程"动感单车 19:00"的预约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Then 系统应拒绝该预约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And 返回提示"会籍已过期，请先续费"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Feature: 爽约判定与惩罚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Scenario: 连续爽约触发预约限制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Given 会员"李四"已累计 2 次爽约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When 该会员再次爽约一次课程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Then 系统应将其爽约次数更新为 3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And 在 7 天内限制其预约权限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Feature: 流失风险预警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Scenario: 连续四周未到店标记高风险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Given 会员"王五"最近到店时间为 35 天前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When 系统执行每日流失风险评分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Then 该会员应被标记为"高风险"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And 生成一条分配给会籍顾问的跟进任务</w:t>
      </w:r>
    </w:p>
    <w:p>
      <w:pPr>
        <w:pStyle w:val="Heading1"/>
      </w:pPr>
      <w:r>
        <w:t>三、测试要求</w:t>
      </w:r>
    </w:p>
    <w:p>
      <w:pPr>
        <w:ind w:left="420"/>
      </w:pPr>
      <w:r>
        <w:t>• 关键规则（SYS-R1–SYS-R10）必须有对应行为驱动测试场景，并与需求编号绑定。</w:t>
      </w:r>
    </w:p>
    <w:p>
      <w:pPr>
        <w:ind w:left="420"/>
      </w:pPr>
      <w:r>
        <w:t>• 测试代码、.feature 文件、接口契约与代码同版本库管理，规则变更时测试同步更新。</w:t>
      </w:r>
    </w:p>
    <w:p>
      <w:pPr>
        <w:ind w:left="420"/>
      </w:pPr>
      <w:r>
        <w:t>• 关键测试未通过不得进入试点或正式部署。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