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接口契约初步清单</w:t>
      </w:r>
    </w:p>
    <w:p>
      <w:r>
        <w:t>&gt; 所属阶段：第四阶段（目标系统需求分析报告）</w:t>
      </w:r>
    </w:p>
    <w:p>
      <w:r>
        <w:t>&gt; 说明：初步清单，设计阶段细化为正式契约（OpenAPI 或等价文档），并与测试用例同步版本管理。</w:t>
      </w:r>
    </w:p>
    <w:p>
      <w:pPr>
        <w:pStyle w:val="Heading1"/>
      </w:pPr>
      <w:r>
        <w:t>一、外部接口（依赖第三方）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接口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用途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协议/方式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关键参数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关联需求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备注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EXT1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微信登录（code2Session）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小程序会员登录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HTTPS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code → openid/session_key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REQ-M0-001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需小程序主体资质（Q9）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EXT2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微信支付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会籍/课包支付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HTTPS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订单号、金额、openid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REQ-B5-001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需商户号（Q9）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EXT3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微信支付回调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支付结果通知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HTTPS 回调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交易状态、订单号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REQ-B5-001、REQ-B5-004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需验签与幂等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EXT4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小程序订阅消息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续费/爽约/课程提醒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HTTPS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openid、模板ID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REQ-B1-004、REQ-B8-005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与短信二选一（Q10）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EXT5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短信服务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兜底提醒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HTTPS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手机号、模板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REQ-B1-004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成本与通道待定（Q10）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接口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方法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用途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主要入参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主要出参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关联需求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API-M1-01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/members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新建会员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姓名、手机号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REQ-B1-001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API-M1-02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/members/{id}/memberships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办卡/续费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会籍类型、金额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合同、状态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REQ-B1-002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API-M1-03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/memberships/{id}/freeze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冻结/解冻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原因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REQ-B1-003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API-M3-01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/courses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排课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教练、时间、场地、容量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课程ID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REQ-B3-001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API-M4-01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/bookings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约课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memberId、courseId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预约ID、状态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REQ-B4-001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API-M4-02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/bookings/{id}/checkin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签到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会员标识、时间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REQ-B4-002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API-M4-03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/bookings/{id}/cancel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取消预约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预约ID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状态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R3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API-M5-01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/orders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创建订单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会员、类型、金额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订单号、支付参数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REQ-B5-001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API-M5-02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/settlements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生成对账单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期间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对账明细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REQ-B5-003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API-M5-03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/commissions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提成报表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月份、教练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提成明细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REQ-B5-005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API-M7-01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/assessments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体测录入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会员、指标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记录ID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REQ-B7-001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API-M8-01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/risks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流失风险清单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风险等级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会员列表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REQ-B8-001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API-M8-02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/predictions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爽约预测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courseId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概率列表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REQ-B8-003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API-M8-03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/tickets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POST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提交工单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会员、类型、描述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工单ID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REQ-B8-007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API-M8-04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/reports/{code}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GET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获取报表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期间、维度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报表数据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REQ-B8-009</w:t>
            </w:r>
          </w:p>
        </w:tc>
      </w:tr>
    </w:tbl>
    <w:p>
      <w:pPr>
        <w:pStyle w:val="Heading1"/>
      </w:pPr>
      <w:r>
        <w:t>二、内部接口（前后端/服务间）</w:t>
      </w:r>
    </w:p>
    <w:p>
      <w:pPr>
        <w:pStyle w:val="Heading1"/>
      </w:pPr>
      <w:r>
        <w:t>三、契约示例（约课，片断）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POST /bookings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request: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memberId: string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courseId: string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response_200: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bookingId: string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status: "已约"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response_409:   # 冲突/超额/会籍无效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code: "BOOKING_REJECTED"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reason: "会籍过期 | 课程已满 | 时间冲突"</w:t>
      </w:r>
    </w:p>
    <w:p>
      <w:pPr>
        <w:pStyle w:val="Heading1"/>
      </w:pPr>
      <w:r>
        <w:t>四、契约要求</w:t>
      </w:r>
    </w:p>
    <w:p>
      <w:pPr>
        <w:ind w:left="420"/>
      </w:pPr>
      <w:r>
        <w:t>• 所有接口须定义鉴权方式、错误码与幂等策略；支付相关接口必须验签且幂等（对齐 REQ-B5-004）。</w:t>
      </w:r>
    </w:p>
    <w:p>
      <w:pPr>
        <w:ind w:left="420"/>
      </w:pPr>
      <w:r>
        <w:t>• 外部接口在原型阶段以 Mock 先行验证（第七阶段），契约文件随代码同版本库管理。</w:t>
      </w:r>
    </w:p>
    <w:p>
      <w:pPr>
        <w:ind w:left="420"/>
      </w:pPr>
      <w:r>
        <w:t>• 接口字段与《目标系统需求分析报告》§8 数据字段、页面字段保持一致。</w:t>
      </w:r>
    </w:p>
    <w:p>
      <w:pPr>
        <w:pStyle w:val="Heading1"/>
      </w:pPr>
      <w:r>
        <w:t>五、待确认项</w:t>
      </w:r>
    </w:p>
    <w:p>
      <w:pPr>
        <w:ind w:left="420"/>
      </w:pPr>
      <w:r>
        <w:t>• Q9：小程序主体资质与微信支付商户号申请。</w:t>
      </w:r>
    </w:p>
    <w:p>
      <w:pPr>
        <w:ind w:left="420"/>
      </w:pPr>
      <w:r>
        <w:t>• Q10：提醒通道（订阅消息 vs 短信）及成本。</w:t>
      </w:r>
    </w:p>
    <w:p>
      <w:r>
        <w:t>（见《开放问题闭环记录》）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