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用户角色与权限说明</w:t>
      </w:r>
    </w:p>
    <w:p>
      <w:r>
        <w:t>&gt; 所属阶段：第四阶段（目标系统需求分析报告）</w:t>
      </w:r>
    </w:p>
    <w:p>
      <w:r>
        <w:t>&gt; 来源：业务角色（会员、会籍顾问、私教、店长、财务、系统管理员）</w:t>
      </w:r>
    </w:p>
    <w:p>
      <w:pPr>
        <w:pStyle w:val="Heading1"/>
      </w:pPr>
      <w:r>
        <w:t>一、系统角色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/>
        </w:tc>
        <w:tc>
          <w:tcPr>
            <w:tcW w:type="dxa" w:w="2882"/>
          </w:tcPr>
          <w:p/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角色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端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会员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小程序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仅访问本人数据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会籍顾问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Web 后台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客户与跟进相关，无财务权限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私教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Web 后台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本人排课/上课/体测/业绩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店长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Web 后台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全局可见，最高配置权限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财务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Web 后台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订单/对账/提成查看，无业务修改权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系统管理员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Web 后台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用户、权限、基础数据、日志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会员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会籍顾问 私教 店长 财务 管理员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会员档案查看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本人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 所带会员 ✔ ✔（只读）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办卡/续费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 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会籍冻结/过期处理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申请 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排课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 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约课/取消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代约 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签到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代签 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体测录入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查看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 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订单/支付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本人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代下单 — ✔ 查看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对账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 — ✔ 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提成核算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查看自身 查看自身 ✔（配置） 查看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预警任务处理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 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工单处理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提交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✔ ✔ ✔ —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报表查看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部分 自身业绩 ✔ 财务报表 —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规则/参数配置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 — ✔ — 技术项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用户与权限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— — 审批 — ✔</w:t>
            </w:r>
          </w:p>
        </w:tc>
      </w:tr>
    </w:tbl>
    <w:p>
      <w:pPr>
        <w:pStyle w:val="Heading1"/>
      </w:pPr>
      <w:r>
        <w:t>二、功能权限矩阵</w:t>
      </w:r>
    </w:p>
    <w:p>
      <w:pPr>
        <w:pStyle w:val="Heading1"/>
      </w:pPr>
      <w:r>
        <w:t>三、数据权限规则</w:t>
      </w:r>
    </w:p>
    <w:p>
      <w:pPr>
        <w:ind w:left="420"/>
      </w:pPr>
      <w:r>
        <w:t>• **会员**：仅见本人档案、预约、订单、体测。</w:t>
      </w:r>
    </w:p>
    <w:p>
      <w:pPr>
        <w:ind w:left="420"/>
      </w:pPr>
      <w:r>
        <w:t>• **私教**：仅见所带会员的档案与训练数据、本人排课与业绩。</w:t>
      </w:r>
    </w:p>
    <w:p>
      <w:pPr>
        <w:ind w:left="420"/>
      </w:pPr>
      <w:r>
        <w:t>• **会籍顾问**：可见所负责客户；不可见财务明细与提成金额。</w:t>
      </w:r>
    </w:p>
    <w:p>
      <w:pPr>
        <w:ind w:left="420"/>
      </w:pPr>
      <w:r>
        <w:t>• **财务**：可见订单与对账数据（只读业务），不可修改业务记录。</w:t>
      </w:r>
    </w:p>
    <w:p>
      <w:pPr>
        <w:ind w:left="420"/>
      </w:pPr>
      <w:r>
        <w:t>• **店长**：全局数据可见。</w:t>
      </w:r>
    </w:p>
    <w:p>
      <w:pPr>
        <w:ind w:left="420"/>
      </w:pPr>
      <w:r>
        <w:t>• **管理员**：仅系统配置，默认不可见业务明细（如需要应按最小授权单独开通）。</w:t>
      </w:r>
    </w:p>
    <w:p>
      <w:pPr>
        <w:pStyle w:val="Heading1"/>
      </w:pPr>
      <w:r>
        <w:t>四、权限实现要求</w:t>
      </w:r>
    </w:p>
    <w:p>
      <w:pPr>
        <w:ind w:left="420"/>
      </w:pPr>
      <w:r>
        <w:t>• **REQ-M0-001**：系统应按角色控制功能访问与数据可见范围，所有越权请求应被拒绝并记录。</w:t>
      </w:r>
    </w:p>
    <w:p>
      <w:pPr>
        <w:ind w:left="420"/>
      </w:pPr>
      <w:r>
        <w:t>• 权限变更须留痕（谁、何时、变更了什么）。</w:t>
      </w:r>
    </w:p>
    <w:p>
      <w:pPr>
        <w:ind w:left="420"/>
      </w:pPr>
      <w:r>
        <w:t>• 财务与提成相关数据的查看、导出应记录审计日志（对齐《非功能需求初步说明》合规要求）。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