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系统规则与约束说明</w:t>
      </w:r>
    </w:p>
    <w:p>
      <w:r>
        <w:t>&gt; 所属阶段：第四阶段（目标系统需求分析报告）</w:t>
      </w:r>
    </w:p>
    <w:p>
      <w:r>
        <w:t>&gt; 来源：业务规则 R1–R10 → 系统规则 SYS-R1–SYS-R10（含校验逻辑、计算规则、约束）</w:t>
      </w:r>
    </w:p>
    <w:p>
      <w:pPr>
        <w:pStyle w:val="Heading1"/>
      </w:pPr>
      <w:r>
        <w:t>一、系统规则清单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系统规则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类型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规则内容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触发/适用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关联需求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SYS-R1 会籍有效期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准入校验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仅"有效"会籍可约课；过期会员预约请求返回"会籍过期"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约课前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REQ-B4-001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SYS-R2 请假冻结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状态约束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冻结期不计入有效期，冻结期间禁止约课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冻结状态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REQ-B1-003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SYS-R3 约课上限与冲突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校验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预约数 ≤ 课程容量；同会员同时间仅 1 个预约；教练/场地/时间冲突则拒绝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预约与排课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REQ-B3-001、REQ-B4-001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SYS-R4 爽约惩罚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计算+准入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累计爽约 ≥ 3 次 → 限制预约 7 天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爽约累计时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REQ-B4-004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SYS-R5 课包核销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计算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结课扣减 1 次；余额 0 禁止排课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结课后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REQ-B5-002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SYS-R6 到期提醒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计算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到期前 7 天触发提醒（每日扫描）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定时任务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REQ-B1-004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SYS-R7 流失风险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计算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连续 4 周未到店 或 近 30 天爽约率 &gt; 30% → 高风险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每日评分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REQ-B8-001/002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SYS-R8 爽约预测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计算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爽约概率 &gt; 0.6 → 提醒；满员则释放名额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课程开始前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REQ-B8-003/004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SYS-R9 新会员首月跟进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计算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办卡后 30 天内到店 &lt; 2 次 → 生成跟进任务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每日评分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REQ-B2-001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SYS-R10 私教提成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计算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按当月课消次数/金额 × 比例（店长配置）计提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月末结算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REQ-B5-005</w:t>
            </w:r>
          </w:p>
        </w:tc>
      </w:tr>
    </w:tbl>
    <w:p>
      <w:pPr>
        <w:pStyle w:val="Heading1"/>
      </w:pPr>
      <w:r>
        <w:t>二、指标口径（计算规则）</w:t>
      </w:r>
    </w:p>
    <w:p>
      <w:pPr>
        <w:ind w:left="420"/>
      </w:pPr>
      <w:r>
        <w:t>• **爽约率**（会员维度）= 近 30 天爽约次数 / 近 30 天预约次数。</w:t>
      </w:r>
    </w:p>
    <w:p>
      <w:pPr>
        <w:ind w:left="420"/>
      </w:pPr>
      <w:r>
        <w:t>• **活跃会员** = 近 30 天内有至少 1 次签到记录的会员数。</w:t>
      </w:r>
    </w:p>
    <w:p>
      <w:pPr>
        <w:ind w:left="420"/>
      </w:pPr>
      <w:r>
        <w:t>• **体验转化率** = 期内办卡人数 / 期内体验人数。</w:t>
      </w:r>
    </w:p>
    <w:p>
      <w:pPr>
        <w:ind w:left="420"/>
      </w:pPr>
      <w:r>
        <w:t>• **流失率**（月）= 当月到期未续费会员数 / 月初有效会员数。</w:t>
      </w:r>
    </w:p>
    <w:p>
      <w:pPr>
        <w:ind w:left="420"/>
      </w:pPr>
      <w:r>
        <w:t>• **爽约概率**（SYS-R8）初期采用规则式打分（历史爽约率、距上次到店天数、是否新会员等），具备数据后演进为统计/机器学习模型。</w:t>
      </w:r>
    </w:p>
    <w:p>
      <w:pPr>
        <w:pStyle w:val="Heading1"/>
      </w:pPr>
      <w:r>
        <w:t>三、约束</w:t>
      </w:r>
    </w:p>
    <w:p>
      <w:pPr>
        <w:ind w:left="420"/>
      </w:pPr>
      <w:r>
        <w:t>• 规则参数（N=3、D=7、T=0.6、时间窗 30 天/4 周）须**可配置**，由店长在后台维护，变更须记录版本。</w:t>
      </w:r>
    </w:p>
    <w:p>
      <w:pPr>
        <w:ind w:left="420"/>
      </w:pPr>
      <w:r>
        <w:t>• 规则执行结果须可追溯（哪条规则、作用于谁、何时、结果）。</w:t>
      </w:r>
    </w:p>
    <w:p>
      <w:pPr>
        <w:ind w:left="420"/>
      </w:pPr>
      <w:r>
        <w:t>• 关键规则必须产出行��驱动测试场景（见《关键规则—需求—测试溯源表》）。</w:t>
      </w:r>
    </w:p>
    <w:p>
      <w:pPr>
        <w:pStyle w:val="Heading1"/>
      </w:pPr>
      <w:r>
        <w:t>四、规则与状态机的关系</w:t>
      </w:r>
    </w:p>
    <w:p>
      <w:r>
        <w:t>规则触发状态迁移：SYS-R1/R2 影响会员状态（有效/冻结/过期）；SYS-R4 影响预约权限；SYS-R5 影响课包余额；SYS-R7/R9 影响风险与任务；SYS-R8 影响预约与候补。详见《系统状态流转说明》。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