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测试计划（切片版）</w:t>
      </w:r>
    </w:p>
    <w:p>
      <w:r>
        <w:t>&gt; 所属阶段：第五阶段（测试用例与测试计划确认）</w:t>
      </w:r>
    </w:p>
    <w:p>
      <w:r>
        <w:t>&gt; 上游依据：《目标系统需求分析报告》《系统规则与约束说明》《关键规则—需求—测试溯源表》</w:t>
      </w:r>
    </w:p>
    <w:p>
      <w:r>
        <w:t>&gt; 原则：测试用例与测试计划</w:t>
      </w:r>
      <w:r>
        <w:rPr>
          <w:b/>
        </w:rPr>
        <w:t>在需求阶段同步形成</w:t>
      </w:r>
      <w:r>
        <w:t>，不等编码完成才补写；每个业务切片形成需求后同步形成对应测试用例。</w:t>
      </w:r>
    </w:p>
    <w:p>
      <w:pPr>
        <w:pStyle w:val="Heading1"/>
      </w:pPr>
      <w:r>
        <w:t>1. 目的与范围</w:t>
      </w:r>
    </w:p>
    <w:p>
      <w:pPr>
        <w:ind w:left="420"/>
      </w:pPr>
      <w:r>
        <w:t>• 目的：在需求确认的同时确定"怎么验"，使每条需求、每条关键规则都有可执行的验证方式，避免后期临时补测。</w:t>
      </w:r>
    </w:p>
    <w:p>
      <w:pPr>
        <w:ind w:left="420"/>
      </w:pPr>
      <w:r>
        <w:t>• 范围：覆盖切片 S1–S5 及支撑模块 M0；本轮以 S1（最小闭环）为最高优先。</w:t>
      </w:r>
    </w:p>
    <w:p>
      <w:pPr>
        <w:ind w:left="420"/>
      </w:pPr>
      <w:r>
        <w:t>• 不在范围：性能压测的详细方案（见设计阶段非功能测试）、多门店/硬件等范围外功能。</w:t>
      </w:r>
    </w:p>
    <w:p>
      <w:pPr>
        <w:pStyle w:val="Heading1"/>
      </w:pPr>
      <w:r>
        <w:t>2. 测试来源与本计划映射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测试来源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主要落在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业务流程路径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端到端/业务流程测试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按 B0 与板块流程（S1–S5）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角色权限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权限测试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越权访问与数据可见性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业务活动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功能测试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A1–A11 对应功能点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状态转移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状态机测试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五类状态机合法/非法迁移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行为驱动测试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SYS-R1–R10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决策表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组合/决策测试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爽约处理决策表等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异常处理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异常测试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支付失败、冲突、超时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输入边界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边界值测试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容量、次数、时间窗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输出结果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结果校验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提示文案、状态、金额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报表和指标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数据校验测试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RP1–RP9 口径正确性</w:t>
            </w:r>
          </w:p>
        </w:tc>
      </w:tr>
    </w:tbl>
    <w:p>
      <w:pPr>
        <w:pStyle w:val="Heading1"/>
      </w:pPr>
      <w:r>
        <w:t>3. 测试层次</w:t>
      </w:r>
    </w:p>
    <w:p>
      <w:r>
        <w:t>单元测试 → 接口测试 → 契约测试（OpenAPI）→ 集成测试 → 业务流程测试 → 异常测试 → 行为驱动验收测试（.feature）。各层次与需求编号、规则编号绑定追溯。</w:t>
      </w:r>
    </w:p>
    <w:p>
      <w:pPr>
        <w:pStyle w:val="Heading1"/>
      </w:pPr>
      <w:r>
        <w:t>4. 优先级与轮次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轮次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覆盖切片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优先级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准出要求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最高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S1 用例全通过，P0 缺陷清零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支付与对账用例全通过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S3、S4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转化、提成、预警用例通过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S5、M0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工单、报表、权限用例通过</w:t>
            </w:r>
          </w:p>
        </w:tc>
      </w:tr>
    </w:tbl>
    <w:p>
      <w:pPr>
        <w:pStyle w:val="Heading1"/>
      </w:pPr>
      <w:r>
        <w:t>5. 环境要求</w:t>
      </w:r>
    </w:p>
    <w:p>
      <w:pPr>
        <w:ind w:left="420"/>
      </w:pPr>
      <w:r>
        <w:t>• 开发环境、测试环境、预发环境各一套；生产环境不用于测试。</w:t>
      </w:r>
    </w:p>
    <w:p>
      <w:pPr>
        <w:ind w:left="420"/>
      </w:pPr>
      <w:r>
        <w:t>• 小程序测试号 + 微信支付**沙箱**；外部接口（登录/支付/订阅消息/短信）一律走 Mock 或沙箱（对应第六阶段原型验证）。</w:t>
      </w:r>
    </w:p>
    <w:p>
      <w:pPr>
        <w:ind w:left="420"/>
      </w:pPr>
      <w:r>
        <w:t>• 定时任务（评分、提醒、结算）需支持手动触发以便测试。</w:t>
      </w:r>
    </w:p>
    <w:p>
      <w:pPr>
        <w:pStyle w:val="Heading1"/>
      </w:pPr>
      <w:r>
        <w:t>6. 数据要求</w:t>
      </w:r>
    </w:p>
    <w:p>
      <w:pPr>
        <w:ind w:left="420"/>
      </w:pPr>
      <w:r>
        <w:t>• 测试数据：会员、会籍（有效/冻结/过期）、课程与容量、预约与签到记录、订单、体测、工单。</w:t>
      </w:r>
    </w:p>
    <w:p>
      <w:pPr>
        <w:ind w:left="420"/>
      </w:pPr>
      <w:r>
        <w:t>• 数据须**脱敏**（手机号等），不使用真实会员数据。</w:t>
      </w:r>
    </w:p>
    <w:p>
      <w:pPr>
        <w:ind w:left="420"/>
      </w:pPr>
      <w:r>
        <w:t>• 每轮测试前重置基线数据集（seed），保证可重复。</w:t>
      </w:r>
    </w:p>
    <w:p>
      <w:pPr>
        <w:pStyle w:val="Heading1"/>
      </w:pPr>
      <w:r>
        <w:t>7. 通过标准（准出准则）</w:t>
      </w:r>
    </w:p>
    <w:p>
      <w:pPr>
        <w:ind w:left="420"/>
      </w:pPr>
      <w:r>
        <w:t>• 关键规则（SYS-R1–R10）对应的行为驱动场景 100% 通过。</w:t>
      </w:r>
    </w:p>
    <w:p>
      <w:pPr>
        <w:ind w:left="420"/>
      </w:pPr>
      <w:r>
        <w:t>• P0 缺陷为 0，P1 缺陷关闭率 ≥ 95%。</w:t>
      </w:r>
    </w:p>
    <w:p>
      <w:pPr>
        <w:ind w:left="420"/>
      </w:pPr>
      <w:r>
        <w:t>• 核心流程（约课、签到、支付、核销）端到端通过。</w:t>
      </w:r>
    </w:p>
    <w:p>
      <w:pPr>
        <w:ind w:left="420"/>
      </w:pPr>
      <w:r>
        <w:t>• 报表指标口径抽样核对一致。</w:t>
      </w:r>
    </w:p>
    <w:p>
      <w:pPr>
        <w:pStyle w:val="Heading1"/>
      </w:pPr>
      <w:r>
        <w:t>8. 缺陷管理</w:t>
      </w:r>
    </w:p>
    <w:p>
      <w:pPr>
        <w:ind w:left="420"/>
      </w:pPr>
      <w:r>
        <w:t>• 缺陷级别：P0（阻断核心流程）、P1（严重，无绕过方案）、P2（一般）、P3（轻微/建议）。</w:t>
      </w:r>
    </w:p>
    <w:p>
      <w:pPr>
        <w:ind w:left="420"/>
      </w:pPr>
      <w:r>
        <w:t>• 缺陷须关联需求编号与用例编号，修复后回归。</w:t>
      </w:r>
    </w:p>
    <w:p>
      <w:pPr>
        <w:pStyle w:val="Heading1"/>
      </w:pPr>
      <w:r>
        <w:t>9. 角色与职责</w:t>
      </w:r>
    </w:p>
    <w:p>
      <w:pPr>
        <w:ind w:left="420"/>
      </w:pPr>
      <w:r>
        <w:t>• 开发：单元/接口/契约测试编写执行。</w:t>
      </w:r>
    </w:p>
    <w:p>
      <w:pPr>
        <w:ind w:left="420"/>
      </w:pPr>
      <w:r>
        <w:t>• 测试：集成/流程/异常/边界用例执行与缺陷跟踪。</w:t>
      </w:r>
    </w:p>
    <w:p>
      <w:pPr>
        <w:ind w:left="420"/>
      </w:pPr>
      <w:r>
        <w:t>• 店长/业务方：行为驱动验收测试确认（业务口径）。</w:t>
      </w:r>
    </w:p>
    <w:p>
      <w:pPr>
        <w:pStyle w:val="Heading1"/>
      </w:pPr>
      <w:r>
        <w:t>10. 追溯与版本管理</w:t>
      </w:r>
    </w:p>
    <w:p>
      <w:pPr>
        <w:ind w:left="420"/>
      </w:pPr>
      <w:r>
        <w:t>• 用例编号 TC-&lt;模块&gt;-&lt;序号&gt; 与需求编号、规则编号双向绑定（见《测试用例集（切片版）》）。</w:t>
      </w:r>
    </w:p>
    <w:p>
      <w:pPr>
        <w:ind w:left="420"/>
      </w:pPr>
      <w:r>
        <w:t>• .feature 文件、测试代码、接口契约与代码进入同一版本库，规则变更时测试同步更新。</w:t>
      </w:r>
    </w:p>
    <w:p>
      <w:pPr>
        <w:ind w:left="420"/>
      </w:pPr>
      <w:r>
        <w:t>• 关键测试未通过不得进入试点或正式部署。</w:t>
      </w:r>
    </w:p>
    <w:p>
      <w:pPr>
        <w:pStyle w:val="Heading1"/>
      </w:pPr>
      <w:r>
        <w:t>11.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风险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影响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应对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外部接口（支付/消息）不可用于测试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阻塞 S2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先用 Mock/沙箱，Q9/Q10 尽早关闭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预测类功能无历史数据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无法验证准确率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先验规则式（SYS-R7/R9）逻辑，模型后置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测试数据准备不足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覆盖不全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建立 seed 数据集并版本化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