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模块接口契约</w:t>
      </w:r>
    </w:p>
    <w:p>
      <w:r>
        <w:t>&gt; 所属阶段：第八阶段（系统结构与代码结构设计）</w:t>
      </w:r>
    </w:p>
    <w:p>
      <w:r>
        <w:t>&gt; 原则：</w:t>
      </w:r>
      <w:r>
        <w:rPr>
          <w:b/>
        </w:rPr>
        <w:t>跨模块访问必须经过接口契约，不允许直接读取对方模块的数据表</w:t>
      </w:r>
      <w:r>
        <w:t>；契约变更须版本化并与测试同步。</w:t>
      </w:r>
    </w:p>
    <w:p>
      <w:pPr>
        <w:pStyle w:val="Heading1"/>
      </w:pPr>
      <w:r>
        <w:t>一、契约总览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提供方模块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契约接口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主要调用方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system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`SystemFacade`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全部模块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membership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`MembershipFacade`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booking / payment / warning / 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course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`CourseFacade`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booking / 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booking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`BookingFacade`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 / warning / 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**已建立**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`PaymentFacade`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membership（订单驱动会籍）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assessment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`AssessmentFacade`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warning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`WarningFacade`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equipment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`EquipmentFacade`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`ReportFacade`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管理后台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规划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shared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`RuleEngine`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全部模块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**已建立**</w:t>
            </w:r>
          </w:p>
        </w:tc>
      </w:tr>
    </w:tbl>
    <w:p>
      <w:pPr>
        <w:pStyle w:val="Heading1"/>
      </w:pPr>
      <w:r>
        <w:t>二、契约定义</w:t>
      </w:r>
    </w:p>
    <w:p>
      <w:pPr>
        <w:pStyle w:val="Heading2"/>
      </w:pPr>
      <w:r>
        <w:t>shared · RuleEngine（已建立）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Map&lt;String, Object&gt; paramsOf(String ruleCode);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RuleResult checkMembershipEffective(Long memberId);        // SYS-R1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RuleResult checkBookingAllowed(Long memberId, Long courseId); // SYS-R3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RuleResult checkNoShowPenalty(Long memberId);              // SYS-R4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record RuleResult(boolean passed, String ruleCode, String reason) { ... }</w:t>
      </w:r>
    </w:p>
    <w:p>
      <w:pPr>
        <w:pStyle w:val="Heading2"/>
      </w:pPr>
      <w:r>
        <w:t>booking · BookingFacade（已建立）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int  countActiveBookings(Long memberId);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long countNoShow(Long memberId, int withinDays);      // SYS-R4 / SYS-R7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long countBookings(Long memberId, int withinDays);    // 爽约率分母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void checkIn(Long bookingId, String channel, Long operatorId);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boolean hasPendingPenalty(Long memberId);</w:t>
      </w:r>
    </w:p>
    <w:p>
      <w:pPr>
        <w:pStyle w:val="Heading2"/>
      </w:pPr>
      <w:r>
        <w:t>其余契约（按同一形式落地）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接口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方法（摘要）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用途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关联需求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MembershipFacade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`isEffective(memberId)`、`deductPackage(memberId, times)`、`createFollowTask(memberId, type, ruleCode)`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会籍校验、课包核销、跟进任务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REQ-B4-001、REQ-B5-002、REQ-B2-001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CourseFacade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`hasCapacity(courseId)`、`occupySeat(courseId)`、`releaseSeat(courseId)`、`willConflict(coachId, room, start, end)`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余位与冲突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REQ-B4-001、REQ-B3-001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`createOrder(memberId, bizType, amount)`、`getOrderStatus(orderNo)`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订单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REQ-B5-001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AssessmentFacade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`latestAssessment(memberId)`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体测档案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REQ-B7-002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WarningFacade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`listRiskMembers(level)`、`triggerDailyScore()`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风险清单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REQ-B8-001/002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EquipmentFacade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`isAvailable(equipmentId)`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器材可用性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REQ-B6-001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ReportFacade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`getReport(code, period, dimension)`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报表统一出口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REQ-B8-009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SystemFacade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`dictItems(type)`、`can(userId, action)`、`ruleParams(ruleCode)`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字典/权限/规则参数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REQ-M0-001/002</w:t>
            </w:r>
          </w:p>
        </w:tc>
      </w:tr>
    </w:tbl>
    <w:p>
      <w:pPr>
        <w:pStyle w:val="Heading1"/>
      </w:pPr>
      <w:r>
        <w:t>三、领域事件契约（解耦通信）</w:t>
      </w:r>
    </w:p>
    <w:p>
      <w:r>
        <w:t>事件由领域层发布、跨模块订阅，避免直接调用造成的强耦合：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事件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发布方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订阅方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`MembershipActivatedEvent`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membership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payment、report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办卡/续费生效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`BookingCheckedInEvent`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booking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payment、warning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触发课消核销、刷新活跃度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`BookingNoShowEvent`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booking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warning、report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累计爽约、风险评分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`CourseFinishedEvent`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course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结课触发核销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`PaymentSucceededEvent`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membership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订单驱动会籍续期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`WarningCreatedEvent`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warning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report、notification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生成预警任务与提醒</w:t>
            </w:r>
          </w:p>
        </w:tc>
      </w:tr>
    </w:tbl>
    <w:p>
      <w:r>
        <w:rPr>
          <w:b/>
        </w:rPr>
        <w:t>约定</w:t>
      </w:r>
      <w:r>
        <w:t>：事件为</w:t>
      </w:r>
      <w:r>
        <w:rPr>
          <w:b/>
        </w:rPr>
        <w:t>幂等消费</w:t>
      </w:r>
      <w:r>
        <w:t>（订阅方按业务唯一键去重）；事件结构变更视为契约变更，须版本化。</w:t>
      </w:r>
    </w:p>
    <w:p>
      <w:pPr>
        <w:pStyle w:val="Heading1"/>
      </w:pPr>
      <w:r>
        <w:t>四、禁止事项（红线）</w:t>
      </w:r>
    </w:p>
    <w:p>
      <w:r>
        <w:t>1. ❌ 其他模块</w:t>
      </w:r>
      <w:r>
        <w:rPr>
          <w:b/>
        </w:rPr>
        <w:t>不得</w:t>
      </w:r>
      <w:r>
        <w:t>依赖 `com.gym.&lt;模块&gt;.internal` 下的类；</w:t>
      </w:r>
    </w:p>
    <w:p>
      <w:r>
        <w:t xml:space="preserve">2. ❌ </w:t>
      </w:r>
      <w:r>
        <w:rPr>
          <w:b/>
        </w:rPr>
        <w:t>不得</w:t>
      </w:r>
      <w:r>
        <w:t>直接查询/更新对方模块拥有的数据表（如 booking 不得读写 course 表，只能走 `CourseFacade`）；</w:t>
      </w:r>
    </w:p>
    <w:p>
      <w:r>
        <w:t xml:space="preserve">3. ❌ </w:t>
      </w:r>
      <w:r>
        <w:rPr>
          <w:b/>
        </w:rPr>
        <w:t>不得</w:t>
      </w:r>
      <w:r>
        <w:t>在契约中暴露领域实体或 JPA Entity（只允许 DTO）；</w:t>
      </w:r>
    </w:p>
    <w:p>
      <w:r>
        <w:t xml:space="preserve">4. ❌ </w:t>
      </w:r>
      <w:r>
        <w:rPr>
          <w:b/>
        </w:rPr>
        <w:t>不得</w:t>
      </w:r>
      <w:r>
        <w:t>在跨模块调用中开启跨模块写事务（须以事件最终一致或应用层编排）；</w:t>
      </w:r>
    </w:p>
    <w:p>
      <w:r>
        <w:t xml:space="preserve">5. ❌ </w:t>
      </w:r>
      <w:r>
        <w:rPr>
          <w:b/>
        </w:rPr>
        <w:t>不得</w:t>
      </w:r>
      <w:r>
        <w:t>硬编码规则阈值（统一经 `RuleEngine` 读 `rule_config`）。</w:t>
      </w:r>
    </w:p>
    <w:p>
      <w:r>
        <w:t>以上由 ArchUnit 守卫测试部分固化，其余在代码评审中把关。</w:t>
      </w:r>
    </w:p>
    <w:p>
      <w:pPr>
        <w:pStyle w:val="Heading1"/>
      </w:pPr>
      <w:r>
        <w:t>五、契约变更流程</w:t>
      </w:r>
    </w:p>
    <w:p>
      <w:r>
        <w:t xml:space="preserve">1. </w:t>
      </w:r>
      <w:r>
        <w:rPr>
          <w:b/>
        </w:rPr>
        <w:t>新增</w:t>
      </w:r>
      <w:r>
        <w:t>方法：向后兼容，随功能提交，同步补充 `.feature` 测试场景。</w:t>
      </w:r>
    </w:p>
    <w:p>
      <w:r>
        <w:t xml:space="preserve">2. </w:t>
      </w:r>
      <w:r>
        <w:rPr>
          <w:b/>
        </w:rPr>
        <w:t>修改/删除</w:t>
      </w:r>
      <w:r>
        <w:t>方法：须评估所有调用方，形成变更说明，</w:t>
      </w:r>
      <w:r>
        <w:rPr>
          <w:b/>
        </w:rPr>
        <w:t>升级契约版本</w:t>
      </w:r>
      <w:r>
        <w:t>（如 `BookingFacade#countNoShow` → v2 新方法，旧方法标记 `@Deprecated` 并约定下线时间）。</w:t>
      </w:r>
    </w:p>
    <w:p>
      <w:r>
        <w:t>3. 契约文件（OpenAPI）与 `.feature`、代码</w:t>
      </w:r>
      <w:r>
        <w:rPr>
          <w:b/>
        </w:rPr>
        <w:t>同版本库、同版本号</w:t>
      </w:r>
      <w:r>
        <w:t>管理；关键测试未通过不得进入试点或正式部署。</w:t>
      </w:r>
    </w:p>
    <w:p>
      <w:r>
        <w:t>4. 契约变更须同步更新本文件与《外部接口设计说明》（涉及外部接口时）。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