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目标系统需求分析报告</w:t>
      </w:r>
    </w:p>
    <w:p>
      <w:pPr>
        <w:ind w:left="283"/>
      </w:pPr>
      <w:r>
        <w:t>所属阶段：第四阶段（目标系统需求分析报告）</w:t>
      </w:r>
    </w:p>
    <w:p>
      <w:pPr>
        <w:ind w:left="283"/>
      </w:pPr>
      <w:r>
        <w:t>上游依据：《业务基线 V1.0（冻结版）》、《业务分析报告（确认版）》《业务流程优化说明》《人机分工清单》</w:t>
      </w:r>
    </w:p>
    <w:p>
      <w:pPr>
        <w:ind w:left="283"/>
      </w:pPr>
      <w:r>
        <w:t>需求编写规范：EARS（Ubiquitous / Event-driven / Unwanted / State-driven / Optional）</w:t>
      </w:r>
    </w:p>
    <w:p>
      <w:pPr>
        <w:ind w:left="283"/>
      </w:pPr>
      <w:r>
        <w:t>编号规范：</w:t>
      </w:r>
    </w:p>
    <w:p>
      <w:pPr>
        <w:ind w:left="283"/>
      </w:pPr>
      <w:r>
        <w:t xml:space="preserve">- </w:t>
      </w:r>
      <w:r>
        <w:rPr>
          <w:b/>
        </w:rPr>
        <w:t>系统目标</w:t>
      </w:r>
      <w:r>
        <w:t xml:space="preserve"> `GOAL-01 ~ GOAL-04`</w:t>
      </w:r>
    </w:p>
    <w:p>
      <w:pPr>
        <w:ind w:left="283"/>
      </w:pPr>
      <w:r>
        <w:t xml:space="preserve">- </w:t>
      </w:r>
      <w:r>
        <w:rPr>
          <w:b/>
        </w:rPr>
        <w:t>功能需求</w:t>
      </w:r>
      <w:r>
        <w:t xml:space="preserve"> `REQ-B&lt;板块号&gt;-&lt;三位序号&gt;`（对应业务板块 B1–B8；支撑类为 `REQ-M0-&lt;序号&gt;`），</w:t>
      </w:r>
      <w:r>
        <w:rPr>
          <w:b/>
        </w:rPr>
        <w:t>编号全篇唯一且连续，不跳号</w:t>
      </w:r>
    </w:p>
    <w:p>
      <w:pPr>
        <w:ind w:left="283"/>
      </w:pPr>
      <w:r>
        <w:t xml:space="preserve">- </w:t>
      </w:r>
      <w:r>
        <w:rPr>
          <w:b/>
        </w:rPr>
        <w:t>非功能需求</w:t>
      </w:r>
      <w:r>
        <w:t xml:space="preserve"> 见《非功能需求初步说明》`NFR-&lt;类别&gt;-&lt;序号&gt;`</w:t>
      </w:r>
    </w:p>
    <w:p>
      <w:pPr>
        <w:ind w:left="283"/>
      </w:pPr>
      <w:r>
        <w:t xml:space="preserve">- </w:t>
      </w:r>
      <w:r>
        <w:rPr>
          <w:b/>
        </w:rPr>
        <w:t>系统规则</w:t>
      </w:r>
      <w:r>
        <w:t xml:space="preserve"> `SYS-R1 ~ SYS-R10`；</w:t>
      </w:r>
      <w:r>
        <w:rPr>
          <w:b/>
        </w:rPr>
        <w:t>切片</w:t>
      </w:r>
      <w:r>
        <w:t xml:space="preserve"> `S1–S6`</w:t>
      </w:r>
    </w:p>
    <w:p>
      <w:pPr>
        <w:ind w:left="283"/>
      </w:pPr>
      <w:r>
        <w:t>- 模块 M1–M8 ← 业务板块 B1–B8，加系统支撑 M0</w:t>
      </w:r>
    </w:p>
    <w:p>
      <w:pPr>
        <w:pStyle w:val="Heading1"/>
      </w:pPr>
      <w:r>
        <w:t>1. 概述</w:t>
      </w:r>
    </w:p>
    <w:p>
      <w:r>
        <w:t>本报告将已冻结的业务基线逐层转换为系统需求：业务目标→系统目标、业务结构→功能模块、业务角色→用户角色与权限、业务活动→页面操作/接口能力/系统动作、核心对象→领域与数据对象、业务规则→系统规则与校验、状态流转→系统状态机。</w:t>
      </w:r>
    </w:p>
    <w:p>
      <w:r>
        <w:t>系统需求</w:t>
      </w:r>
      <w:r>
        <w:rPr>
          <w:b/>
        </w:rPr>
        <w:t>不一次性、脱离优先级地覆盖所有业务板块</w:t>
      </w:r>
      <w:r>
        <w:t>，而是优先围绕高价值业务切片逐步形成；本报告给出切片划分与各切片需求，待多个切片完成后汇总为完整系统需求结构。</w:t>
      </w:r>
    </w:p>
    <w:p>
      <w:r>
        <w:t>![图 1 系统功能结构图](系统功能结构图.png)</w:t>
      </w:r>
    </w:p>
    <w:p>
      <w:r>
        <w:t>![图 2 需求切片路线图](需求切片路线图.png)</w:t>
      </w:r>
    </w:p>
    <w:p>
      <w:pPr>
        <w:pStyle w:val="Heading1"/>
      </w:pPr>
      <w:r>
        <w:t>2. 需求形成方式：切片优先</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tc>
        <w:tc>
          <w:tcPr>
            <w:tcW w:type="dxa" w:w="1994"/>
          </w:tcPr>
          <w:p/>
        </w:tc>
        <w:tc>
          <w:tcPr>
            <w:tcW w:type="dxa" w:w="1994"/>
          </w:tcPr>
          <w:p/>
        </w:tc>
        <w:tc>
          <w:tcPr>
            <w:tcW w:type="dxa" w:w="1994"/>
          </w:tcPr>
          <w:p/>
        </w:tc>
        <w:tc>
          <w:tcPr>
            <w:tcW w:type="dxa" w:w="1994"/>
          </w:tcPr>
          <w:p/>
        </w:tc>
      </w:tr>
      <w:tr>
        <w:tc>
          <w:tcPr>
            <w:tcW w:type="dxa" w:w="1994"/>
          </w:tcPr>
          <w:p>
            <w:r>
              <w:rPr>
                <w:rFonts w:ascii="Times New Roman" w:hAnsi="Times New Roman" w:eastAsia="宋体"/>
                <w:sz w:val="17"/>
              </w:rPr>
              <w:t>切片</w:t>
            </w:r>
          </w:p>
        </w:tc>
        <w:tc>
          <w:tcPr>
            <w:tcW w:type="dxa" w:w="1994"/>
          </w:tcPr>
          <w:p>
            <w:r>
              <w:rPr>
                <w:rFonts w:ascii="Times New Roman" w:hAnsi="Times New Roman" w:eastAsia="宋体"/>
                <w:sz w:val="17"/>
              </w:rPr>
              <w:t>范围</w:t>
            </w:r>
          </w:p>
        </w:tc>
        <w:tc>
          <w:tcPr>
            <w:tcW w:type="dxa" w:w="1994"/>
          </w:tcPr>
          <w:p>
            <w:r>
              <w:rPr>
                <w:rFonts w:ascii="Times New Roman" w:hAnsi="Times New Roman" w:eastAsia="宋体"/>
                <w:sz w:val="17"/>
              </w:rPr>
              <w:t>优先级</w:t>
            </w:r>
          </w:p>
        </w:tc>
        <w:tc>
          <w:tcPr>
            <w:tcW w:type="dxa" w:w="1994"/>
          </w:tcPr>
          <w:p>
            <w:r>
              <w:rPr>
                <w:rFonts w:ascii="Times New Roman" w:hAnsi="Times New Roman" w:eastAsia="宋体"/>
                <w:sz w:val="17"/>
              </w:rPr>
              <w:t>理由</w:t>
            </w:r>
          </w:p>
        </w:tc>
        <w:tc>
          <w:tcPr>
            <w:tcW w:type="dxa" w:w="1994"/>
          </w:tcPr>
          <w:p>
            <w:r>
              <w:rPr>
                <w:rFonts w:ascii="Times New Roman" w:hAnsi="Times New Roman" w:eastAsia="宋体"/>
                <w:sz w:val="17"/>
              </w:rPr>
              <w:t>涉及活动/规则</w:t>
            </w:r>
          </w:p>
        </w:tc>
      </w:tr>
      <w:tr>
        <w:tc>
          <w:tcPr>
            <w:tcW w:type="dxa" w:w="1994"/>
          </w:tcPr>
          <w:p>
            <w:r>
              <w:rPr>
                <w:rFonts w:ascii="Times New Roman" w:hAnsi="Times New Roman" w:eastAsia="宋体"/>
                <w:sz w:val="17"/>
              </w:rPr>
              <w:t>S1</w:t>
            </w:r>
          </w:p>
        </w:tc>
        <w:tc>
          <w:tcPr>
            <w:tcW w:type="dxa" w:w="1994"/>
          </w:tcPr>
          <w:p>
            <w:r>
              <w:rPr>
                <w:rFonts w:ascii="Times New Roman" w:hAnsi="Times New Roman" w:eastAsia="宋体"/>
                <w:sz w:val="17"/>
              </w:rPr>
              <w:t>会员·会籍·课程·约课签到（最小可用闭环）</w:t>
            </w:r>
          </w:p>
        </w:tc>
        <w:tc>
          <w:tcPr>
            <w:tcW w:type="dxa" w:w="1994"/>
          </w:tcPr>
          <w:p>
            <w:r>
              <w:rPr>
                <w:rFonts w:ascii="Times New Roman" w:hAnsi="Times New Roman" w:eastAsia="宋体"/>
                <w:sz w:val="17"/>
              </w:rPr>
              <w:t>Must（P0）</w:t>
            </w:r>
          </w:p>
        </w:tc>
        <w:tc>
          <w:tcPr>
            <w:tcW w:type="dxa" w:w="1994"/>
          </w:tcPr>
          <w:p>
            <w:r>
              <w:rPr>
                <w:rFonts w:ascii="Times New Roman" w:hAnsi="Times New Roman" w:eastAsia="宋体"/>
                <w:sz w:val="17"/>
              </w:rPr>
              <w:t>承载核心价值，跑通即系统可用</w:t>
            </w:r>
          </w:p>
        </w:tc>
        <w:tc>
          <w:tcPr>
            <w:tcW w:type="dxa" w:w="1994"/>
          </w:tcPr>
          <w:p>
            <w:r>
              <w:rPr>
                <w:rFonts w:ascii="Times New Roman" w:hAnsi="Times New Roman" w:eastAsia="宋体"/>
                <w:sz w:val="17"/>
              </w:rPr>
              <w:t>A1–A6，R1–R5</w:t>
            </w:r>
          </w:p>
        </w:tc>
      </w:tr>
      <w:tr>
        <w:tc>
          <w:tcPr>
            <w:tcW w:type="dxa" w:w="1994"/>
          </w:tcPr>
          <w:p>
            <w:r>
              <w:rPr>
                <w:rFonts w:ascii="Times New Roman" w:hAnsi="Times New Roman" w:eastAsia="宋体"/>
                <w:sz w:val="17"/>
              </w:rPr>
              <w:t>S2</w:t>
            </w:r>
          </w:p>
        </w:tc>
        <w:tc>
          <w:tcPr>
            <w:tcW w:type="dxa" w:w="1994"/>
          </w:tcPr>
          <w:p>
            <w:r>
              <w:rPr>
                <w:rFonts w:ascii="Times New Roman" w:hAnsi="Times New Roman" w:eastAsia="宋体"/>
                <w:sz w:val="17"/>
              </w:rPr>
              <w:t>收费续费·对账</w:t>
            </w:r>
          </w:p>
        </w:tc>
        <w:tc>
          <w:tcPr>
            <w:tcW w:type="dxa" w:w="1994"/>
          </w:tcPr>
          <w:p>
            <w:r>
              <w:rPr>
                <w:rFonts w:ascii="Times New Roman" w:hAnsi="Times New Roman" w:eastAsia="宋体"/>
                <w:sz w:val="17"/>
              </w:rPr>
              <w:t>Must（P1）</w:t>
            </w:r>
          </w:p>
        </w:tc>
        <w:tc>
          <w:tcPr>
            <w:tcW w:type="dxa" w:w="1994"/>
          </w:tcPr>
          <w:p>
            <w:r>
              <w:rPr>
                <w:rFonts w:ascii="Times New Roman" w:hAnsi="Times New Roman" w:eastAsia="宋体"/>
                <w:sz w:val="17"/>
              </w:rPr>
              <w:t>收入闭环与提醒自动化</w:t>
            </w:r>
          </w:p>
        </w:tc>
        <w:tc>
          <w:tcPr>
            <w:tcW w:type="dxa" w:w="1994"/>
          </w:tcPr>
          <w:p>
            <w:r>
              <w:rPr>
                <w:rFonts w:ascii="Times New Roman" w:hAnsi="Times New Roman" w:eastAsia="宋体"/>
                <w:sz w:val="17"/>
              </w:rPr>
              <w:t>A1/A10，R6</w:t>
            </w:r>
          </w:p>
        </w:tc>
      </w:tr>
      <w:tr>
        <w:tc>
          <w:tcPr>
            <w:tcW w:type="dxa" w:w="1994"/>
          </w:tcPr>
          <w:p>
            <w:r>
              <w:rPr>
                <w:rFonts w:ascii="Times New Roman" w:hAnsi="Times New Roman" w:eastAsia="宋体"/>
                <w:sz w:val="17"/>
              </w:rPr>
              <w:t>S3</w:t>
            </w:r>
          </w:p>
        </w:tc>
        <w:tc>
          <w:tcPr>
            <w:tcW w:type="dxa" w:w="1994"/>
          </w:tcPr>
          <w:p>
            <w:r>
              <w:rPr>
                <w:rFonts w:ascii="Times New Roman" w:hAnsi="Times New Roman" w:eastAsia="宋体"/>
                <w:sz w:val="17"/>
              </w:rPr>
              <w:t>体验转化·私教业绩与提成</w:t>
            </w:r>
          </w:p>
        </w:tc>
        <w:tc>
          <w:tcPr>
            <w:tcW w:type="dxa" w:w="1994"/>
          </w:tcPr>
          <w:p>
            <w:r>
              <w:rPr>
                <w:rFonts w:ascii="Times New Roman" w:hAnsi="Times New Roman" w:eastAsia="宋体"/>
                <w:sz w:val="17"/>
              </w:rPr>
              <w:t>Should（P2）</w:t>
            </w:r>
          </w:p>
        </w:tc>
        <w:tc>
          <w:tcPr>
            <w:tcW w:type="dxa" w:w="1994"/>
          </w:tcPr>
          <w:p>
            <w:r>
              <w:rPr>
                <w:rFonts w:ascii="Times New Roman" w:hAnsi="Times New Roman" w:eastAsia="宋体"/>
                <w:sz w:val="17"/>
              </w:rPr>
              <w:t>直接支撑转化与提成目标</w:t>
            </w:r>
          </w:p>
        </w:tc>
        <w:tc>
          <w:tcPr>
            <w:tcW w:type="dxa" w:w="1994"/>
          </w:tcPr>
          <w:p>
            <w:r>
              <w:rPr>
                <w:rFonts w:ascii="Times New Roman" w:hAnsi="Times New Roman" w:eastAsia="宋体"/>
                <w:sz w:val="17"/>
              </w:rPr>
              <w:t>A2/A11，R9/R10</w:t>
            </w:r>
          </w:p>
        </w:tc>
      </w:tr>
      <w:tr>
        <w:tc>
          <w:tcPr>
            <w:tcW w:type="dxa" w:w="1994"/>
          </w:tcPr>
          <w:p>
            <w:r>
              <w:rPr>
                <w:rFonts w:ascii="Times New Roman" w:hAnsi="Times New Roman" w:eastAsia="宋体"/>
                <w:sz w:val="17"/>
              </w:rPr>
              <w:t>S4</w:t>
            </w:r>
          </w:p>
        </w:tc>
        <w:tc>
          <w:tcPr>
            <w:tcW w:type="dxa" w:w="1994"/>
          </w:tcPr>
          <w:p>
            <w:r>
              <w:rPr>
                <w:rFonts w:ascii="Times New Roman" w:hAnsi="Times New Roman" w:eastAsia="宋体"/>
                <w:sz w:val="17"/>
              </w:rPr>
              <w:t>流失/爽约预警（创新点）</w:t>
            </w:r>
          </w:p>
        </w:tc>
        <w:tc>
          <w:tcPr>
            <w:tcW w:type="dxa" w:w="1994"/>
          </w:tcPr>
          <w:p>
            <w:r>
              <w:rPr>
                <w:rFonts w:ascii="Times New Roman" w:hAnsi="Times New Roman" w:eastAsia="宋体"/>
                <w:sz w:val="17"/>
              </w:rPr>
              <w:t>Should（P2）</w:t>
            </w:r>
          </w:p>
        </w:tc>
        <w:tc>
          <w:tcPr>
            <w:tcW w:type="dxa" w:w="1994"/>
          </w:tcPr>
          <w:p>
            <w:r>
              <w:rPr>
                <w:rFonts w:ascii="Times New Roman" w:hAnsi="Times New Roman" w:eastAsia="宋体"/>
                <w:sz w:val="17"/>
              </w:rPr>
              <w:t>差异化能力，先规则式后模型</w:t>
            </w:r>
          </w:p>
        </w:tc>
        <w:tc>
          <w:tcPr>
            <w:tcW w:type="dxa" w:w="1994"/>
          </w:tcPr>
          <w:p>
            <w:r>
              <w:rPr>
                <w:rFonts w:ascii="Times New Roman" w:hAnsi="Times New Roman" w:eastAsia="宋体"/>
                <w:sz w:val="17"/>
              </w:rPr>
              <w:t>A7–A9，R7/R8</w:t>
            </w:r>
          </w:p>
        </w:tc>
      </w:tr>
      <w:tr>
        <w:tc>
          <w:tcPr>
            <w:tcW w:type="dxa" w:w="1994"/>
          </w:tcPr>
          <w:p>
            <w:r>
              <w:rPr>
                <w:rFonts w:ascii="Times New Roman" w:hAnsi="Times New Roman" w:eastAsia="宋体"/>
                <w:sz w:val="17"/>
              </w:rPr>
              <w:t>S5</w:t>
            </w:r>
          </w:p>
        </w:tc>
        <w:tc>
          <w:tcPr>
            <w:tcW w:type="dxa" w:w="1994"/>
          </w:tcPr>
          <w:p>
            <w:r>
              <w:rPr>
                <w:rFonts w:ascii="Times New Roman" w:hAnsi="Times New Roman" w:eastAsia="宋体"/>
                <w:sz w:val="17"/>
              </w:rPr>
              <w:t>投诉工单·运营报表</w:t>
            </w:r>
          </w:p>
        </w:tc>
        <w:tc>
          <w:tcPr>
            <w:tcW w:type="dxa" w:w="1994"/>
          </w:tcPr>
          <w:p>
            <w:r>
              <w:rPr>
                <w:rFonts w:ascii="Times New Roman" w:hAnsi="Times New Roman" w:eastAsia="宋体"/>
                <w:sz w:val="17"/>
              </w:rPr>
              <w:t>Could（P3）</w:t>
            </w:r>
          </w:p>
        </w:tc>
        <w:tc>
          <w:tcPr>
            <w:tcW w:type="dxa" w:w="1994"/>
          </w:tcPr>
          <w:p>
            <w:r>
              <w:rPr>
                <w:rFonts w:ascii="Times New Roman" w:hAnsi="Times New Roman" w:eastAsia="宋体"/>
                <w:sz w:val="17"/>
              </w:rPr>
              <w:t>管理闭环与数据决策</w:t>
            </w:r>
          </w:p>
        </w:tc>
        <w:tc>
          <w:tcPr>
            <w:tcW w:type="dxa" w:w="1994"/>
          </w:tcPr>
          <w:p>
            <w:r>
              <w:rPr>
                <w:rFonts w:ascii="Times New Roman" w:hAnsi="Times New Roman" w:eastAsia="宋体"/>
                <w:sz w:val="17"/>
              </w:rPr>
              <w:t>A10/B8，O8</w:t>
            </w:r>
          </w:p>
        </w:tc>
      </w:tr>
      <w:tr>
        <w:tc>
          <w:tcPr>
            <w:tcW w:type="dxa" w:w="1994"/>
          </w:tcPr>
          <w:p>
            <w:r>
              <w:rPr>
                <w:rFonts w:ascii="Times New Roman" w:hAnsi="Times New Roman" w:eastAsia="宋体"/>
                <w:sz w:val="17"/>
              </w:rPr>
              <w:t>S6</w:t>
            </w:r>
          </w:p>
        </w:tc>
        <w:tc>
          <w:tcPr>
            <w:tcW w:type="dxa" w:w="1994"/>
          </w:tcPr>
          <w:p>
            <w:r>
              <w:rPr>
                <w:rFonts w:ascii="Times New Roman" w:hAnsi="Times New Roman" w:eastAsia="宋体"/>
                <w:sz w:val="17"/>
              </w:rPr>
              <w:t>教练协同·场地运营（迭代新增）</w:t>
            </w:r>
          </w:p>
        </w:tc>
        <w:tc>
          <w:tcPr>
            <w:tcW w:type="dxa" w:w="1994"/>
          </w:tcPr>
          <w:p>
            <w:r>
              <w:rPr>
                <w:rFonts w:ascii="Times New Roman" w:hAnsi="Times New Roman" w:eastAsia="宋体"/>
                <w:sz w:val="17"/>
              </w:rPr>
              <w:t>Should（P2）</w:t>
            </w:r>
          </w:p>
        </w:tc>
        <w:tc>
          <w:tcPr>
            <w:tcW w:type="dxa" w:w="1994"/>
          </w:tcPr>
          <w:p>
            <w:r>
              <w:rPr>
                <w:rFonts w:ascii="Times New Roman" w:hAnsi="Times New Roman" w:eastAsia="宋体"/>
                <w:sz w:val="17"/>
              </w:rPr>
              <w:t>教练是排课与上课的承担者，场地是除课程外最主要的资源，两者都需要独立入口与冲突约束</w:t>
            </w:r>
          </w:p>
        </w:tc>
        <w:tc>
          <w:tcPr>
            <w:tcW w:type="dxa" w:w="1994"/>
          </w:tcPr>
          <w:p>
            <w:r>
              <w:rPr>
                <w:rFonts w:ascii="Times New Roman" w:hAnsi="Times New Roman" w:eastAsia="宋体"/>
                <w:sz w:val="17"/>
              </w:rPr>
              <w:t>A3/A5/A12，R3</w:t>
            </w:r>
          </w:p>
        </w:tc>
      </w:tr>
    </w:tbl>
    <w:p>
      <w:r>
        <w:t>切片实施顺序：S1 → S2 → S3 → S4 → S5 → S6；每个切片独立完成"需求→测试→原型→设计→实现"。</w:t>
      </w:r>
    </w:p>
    <w:p>
      <w:pPr>
        <w:ind w:left="283"/>
      </w:pPr>
      <w:r>
        <w:rPr>
          <w:b/>
        </w:rPr>
        <w:t>S6 为本次迭代新增切片</w:t>
      </w:r>
      <w:r>
        <w:t>，对应实现中的教练端（我的课表 / 学员名单 / 核销签到）与场地预约（4 个私有场馆 + 1 个公共区域）。</w:t>
      </w:r>
    </w:p>
    <w:p>
      <w:pPr>
        <w:pStyle w:val="Heading1"/>
      </w:pPr>
      <w:r>
        <w:t>3. 业务—系统映射总览</w:t>
      </w:r>
    </w:p>
    <w:tbl>
      <w:tblPr>
        <w:tblStyle w:val="TableGrid"/>
        <w:tblW w:type="auto" w:w="0"/>
        <w:tblLook w:firstColumn="1" w:firstRow="1" w:lastColumn="0" w:lastRow="0" w:noHBand="0" w:noVBand="1" w:val="04A0"/>
      </w:tblPr>
      <w:tblGrid>
        <w:gridCol w:w="3324"/>
        <w:gridCol w:w="3324"/>
        <w:gridCol w:w="3324"/>
      </w:tblGrid>
      <w:tr>
        <w:tc>
          <w:tcPr>
            <w:tcW w:type="dxa" w:w="3324"/>
          </w:tcPr>
          <w:p/>
        </w:tc>
        <w:tc>
          <w:tcPr>
            <w:tcW w:type="dxa" w:w="3324"/>
          </w:tcPr>
          <w:p/>
        </w:tc>
        <w:tc>
          <w:tcPr>
            <w:tcW w:type="dxa" w:w="3324"/>
          </w:tcPr>
          <w:p/>
        </w:tc>
      </w:tr>
      <w:tr>
        <w:tc>
          <w:tcPr>
            <w:tcW w:type="dxa" w:w="3324"/>
          </w:tcPr>
          <w:p>
            <w:r>
              <w:rPr>
                <w:rFonts w:ascii="Times New Roman" w:hAnsi="Times New Roman" w:eastAsia="宋体"/>
                <w:sz w:val="17"/>
              </w:rPr>
              <w:t>业务侧</w:t>
            </w:r>
          </w:p>
        </w:tc>
        <w:tc>
          <w:tcPr>
            <w:tcW w:type="dxa" w:w="3324"/>
          </w:tcPr>
          <w:p>
            <w:r>
              <w:rPr>
                <w:rFonts w:ascii="Times New Roman" w:hAnsi="Times New Roman" w:eastAsia="宋体"/>
                <w:sz w:val="17"/>
              </w:rPr>
              <w:t>系统侧</w:t>
            </w:r>
          </w:p>
        </w:tc>
        <w:tc>
          <w:tcPr>
            <w:tcW w:type="dxa" w:w="3324"/>
          </w:tcPr>
          <w:p>
            <w:r>
              <w:rPr>
                <w:rFonts w:ascii="Times New Roman" w:hAnsi="Times New Roman" w:eastAsia="宋体"/>
                <w:sz w:val="17"/>
              </w:rPr>
              <w:t>落地位置</w:t>
            </w:r>
          </w:p>
        </w:tc>
      </w:tr>
      <w:tr>
        <w:tc>
          <w:tcPr>
            <w:tcW w:type="dxa" w:w="3324"/>
          </w:tcPr>
          <w:p>
            <w:r>
              <w:rPr>
                <w:rFonts w:ascii="Times New Roman" w:hAnsi="Times New Roman" w:eastAsia="宋体"/>
                <w:sz w:val="17"/>
              </w:rPr>
              <w:t>业务目标</w:t>
            </w:r>
          </w:p>
        </w:tc>
        <w:tc>
          <w:tcPr>
            <w:tcW w:type="dxa" w:w="3324"/>
          </w:tcPr>
          <w:p>
            <w:r>
              <w:rPr>
                <w:rFonts w:ascii="Times New Roman" w:hAnsi="Times New Roman" w:eastAsia="宋体"/>
                <w:sz w:val="17"/>
              </w:rPr>
              <w:t>系统目标 GOAL-01~05（§4）</w:t>
            </w:r>
          </w:p>
        </w:tc>
        <w:tc>
          <w:tcPr>
            <w:tcW w:type="dxa" w:w="3324"/>
          </w:tcPr>
          <w:p>
            <w:r>
              <w:rPr>
                <w:rFonts w:ascii="Times New Roman" w:hAnsi="Times New Roman" w:eastAsia="宋体"/>
                <w:sz w:val="17"/>
              </w:rPr>
              <w:t>§4；报表能力见 REQ-B8-009</w:t>
            </w:r>
          </w:p>
        </w:tc>
      </w:tr>
      <w:tr>
        <w:tc>
          <w:tcPr>
            <w:tcW w:type="dxa" w:w="3324"/>
          </w:tcPr>
          <w:p>
            <w:r>
              <w:rPr>
                <w:rFonts w:ascii="Times New Roman" w:hAnsi="Times New Roman" w:eastAsia="宋体"/>
                <w:sz w:val="17"/>
              </w:rPr>
              <w:t>业务结构 B1–B8</w:t>
            </w:r>
          </w:p>
        </w:tc>
        <w:tc>
          <w:tcPr>
            <w:tcW w:type="dxa" w:w="3324"/>
          </w:tcPr>
          <w:p>
            <w:r>
              <w:rPr>
                <w:rFonts w:ascii="Times New Roman" w:hAnsi="Times New Roman" w:eastAsia="宋体"/>
                <w:sz w:val="17"/>
              </w:rPr>
              <w:t>系统功能模块 M1–M8</w:t>
            </w:r>
          </w:p>
        </w:tc>
        <w:tc>
          <w:tcPr>
            <w:tcW w:type="dxa" w:w="3324"/>
          </w:tcPr>
          <w:p>
            <w:r>
              <w:rPr>
                <w:rFonts w:ascii="Times New Roman" w:hAnsi="Times New Roman" w:eastAsia="宋体"/>
                <w:sz w:val="17"/>
              </w:rPr>
              <w:t>§5 功能需求</w:t>
            </w:r>
          </w:p>
        </w:tc>
      </w:tr>
      <w:tr>
        <w:tc>
          <w:tcPr>
            <w:tcW w:type="dxa" w:w="3324"/>
          </w:tcPr>
          <w:p>
            <w:r>
              <w:rPr>
                <w:rFonts w:ascii="Times New Roman" w:hAnsi="Times New Roman" w:eastAsia="宋体"/>
                <w:sz w:val="17"/>
              </w:rPr>
              <w:t>业务角色</w:t>
            </w:r>
          </w:p>
        </w:tc>
        <w:tc>
          <w:tcPr>
            <w:tcW w:type="dxa" w:w="3324"/>
          </w:tcPr>
          <w:p>
            <w:r>
              <w:rPr>
                <w:rFonts w:ascii="Times New Roman" w:hAnsi="Times New Roman" w:eastAsia="宋体"/>
                <w:sz w:val="17"/>
              </w:rPr>
              <w:t>系统用户角色与权限</w:t>
            </w:r>
          </w:p>
        </w:tc>
        <w:tc>
          <w:tcPr>
            <w:tcW w:type="dxa" w:w="3324"/>
          </w:tcPr>
          <w:p>
            <w:r>
              <w:rPr>
                <w:rFonts w:ascii="Times New Roman" w:hAnsi="Times New Roman" w:eastAsia="宋体"/>
                <w:sz w:val="17"/>
              </w:rPr>
              <w:t>《用户角色与权限说明》</w:t>
            </w:r>
          </w:p>
        </w:tc>
      </w:tr>
      <w:tr>
        <w:tc>
          <w:tcPr>
            <w:tcW w:type="dxa" w:w="3324"/>
          </w:tcPr>
          <w:p>
            <w:r>
              <w:rPr>
                <w:rFonts w:ascii="Times New Roman" w:hAnsi="Times New Roman" w:eastAsia="宋体"/>
                <w:sz w:val="17"/>
              </w:rPr>
              <w:t>业务流程</w:t>
            </w:r>
          </w:p>
        </w:tc>
        <w:tc>
          <w:tcPr>
            <w:tcW w:type="dxa" w:w="3324"/>
          </w:tcPr>
          <w:p>
            <w:r>
              <w:rPr>
                <w:rFonts w:ascii="Times New Roman" w:hAnsi="Times New Roman" w:eastAsia="宋体"/>
                <w:sz w:val="17"/>
              </w:rPr>
              <w:t>系统流程与人机协作流程</w:t>
            </w:r>
          </w:p>
        </w:tc>
        <w:tc>
          <w:tcPr>
            <w:tcW w:type="dxa" w:w="3324"/>
          </w:tcPr>
          <w:p>
            <w:r>
              <w:rPr>
                <w:rFonts w:ascii="Times New Roman" w:hAnsi="Times New Roman" w:eastAsia="宋体"/>
                <w:sz w:val="17"/>
              </w:rPr>
              <w:t>《人机协作流程说明》</w:t>
            </w:r>
          </w:p>
        </w:tc>
      </w:tr>
      <w:tr>
        <w:tc>
          <w:tcPr>
            <w:tcW w:type="dxa" w:w="3324"/>
          </w:tcPr>
          <w:p>
            <w:r>
              <w:rPr>
                <w:rFonts w:ascii="Times New Roman" w:hAnsi="Times New Roman" w:eastAsia="宋体"/>
                <w:sz w:val="17"/>
              </w:rPr>
              <w:t>业务活动 A1–A11</w:t>
            </w:r>
          </w:p>
        </w:tc>
        <w:tc>
          <w:tcPr>
            <w:tcW w:type="dxa" w:w="3324"/>
          </w:tcPr>
          <w:p>
            <w:r>
              <w:rPr>
                <w:rFonts w:ascii="Times New Roman" w:hAnsi="Times New Roman" w:eastAsia="宋体"/>
                <w:sz w:val="17"/>
              </w:rPr>
              <w:t>页面操作/接口能力/系统动作</w:t>
            </w:r>
          </w:p>
        </w:tc>
        <w:tc>
          <w:tcPr>
            <w:tcW w:type="dxa" w:w="3324"/>
          </w:tcPr>
          <w:p>
            <w:r>
              <w:rPr>
                <w:rFonts w:ascii="Times New Roman" w:hAnsi="Times New Roman" w:eastAsia="宋体"/>
                <w:sz w:val="17"/>
              </w:rPr>
              <w:t>§5、§9</w:t>
            </w:r>
          </w:p>
        </w:tc>
      </w:tr>
      <w:tr>
        <w:tc>
          <w:tcPr>
            <w:tcW w:type="dxa" w:w="3324"/>
          </w:tcPr>
          <w:p>
            <w:r>
              <w:rPr>
                <w:rFonts w:ascii="Times New Roman" w:hAnsi="Times New Roman" w:eastAsia="宋体"/>
                <w:sz w:val="17"/>
              </w:rPr>
              <w:t>核心对象 O1–O8</w:t>
            </w:r>
          </w:p>
        </w:tc>
        <w:tc>
          <w:tcPr>
            <w:tcW w:type="dxa" w:w="3324"/>
          </w:tcPr>
          <w:p>
            <w:r>
              <w:rPr>
                <w:rFonts w:ascii="Times New Roman" w:hAnsi="Times New Roman" w:eastAsia="宋体"/>
                <w:sz w:val="17"/>
              </w:rPr>
              <w:t>领域对象与数据对象</w:t>
            </w:r>
          </w:p>
        </w:tc>
        <w:tc>
          <w:tcPr>
            <w:tcW w:type="dxa" w:w="3324"/>
          </w:tcPr>
          <w:p>
            <w:r>
              <w:rPr>
                <w:rFonts w:ascii="Times New Roman" w:hAnsi="Times New Roman" w:eastAsia="宋体"/>
                <w:sz w:val="17"/>
              </w:rPr>
              <w:t>§8</w:t>
            </w:r>
          </w:p>
        </w:tc>
      </w:tr>
      <w:tr>
        <w:tc>
          <w:tcPr>
            <w:tcW w:type="dxa" w:w="3324"/>
          </w:tcPr>
          <w:p>
            <w:r>
              <w:rPr>
                <w:rFonts w:ascii="Times New Roman" w:hAnsi="Times New Roman" w:eastAsia="宋体"/>
                <w:sz w:val="17"/>
              </w:rPr>
              <w:t>信息流转</w:t>
            </w:r>
          </w:p>
        </w:tc>
        <w:tc>
          <w:tcPr>
            <w:tcW w:type="dxa" w:w="3324"/>
          </w:tcPr>
          <w:p>
            <w:r>
              <w:rPr>
                <w:rFonts w:ascii="Times New Roman" w:hAnsi="Times New Roman" w:eastAsia="宋体"/>
                <w:sz w:val="17"/>
              </w:rPr>
              <w:t>页面字段/接口参数/数据库字段/报表需求</w:t>
            </w:r>
          </w:p>
        </w:tc>
        <w:tc>
          <w:tcPr>
            <w:tcW w:type="dxa" w:w="3324"/>
          </w:tcPr>
          <w:p>
            <w:r>
              <w:rPr>
                <w:rFonts w:ascii="Times New Roman" w:hAnsi="Times New Roman" w:eastAsia="宋体"/>
                <w:sz w:val="17"/>
              </w:rPr>
              <w:t>§8、§9、《输出报表与统计需求说明》</w:t>
            </w:r>
          </w:p>
        </w:tc>
      </w:tr>
      <w:tr>
        <w:tc>
          <w:tcPr>
            <w:tcW w:type="dxa" w:w="3324"/>
          </w:tcPr>
          <w:p>
            <w:r>
              <w:rPr>
                <w:rFonts w:ascii="Times New Roman" w:hAnsi="Times New Roman" w:eastAsia="宋体"/>
                <w:sz w:val="17"/>
              </w:rPr>
              <w:t>状态流转</w:t>
            </w:r>
          </w:p>
        </w:tc>
        <w:tc>
          <w:tcPr>
            <w:tcW w:type="dxa" w:w="3324"/>
          </w:tcPr>
          <w:p>
            <w:r>
              <w:rPr>
                <w:rFonts w:ascii="Times New Roman" w:hAnsi="Times New Roman" w:eastAsia="宋体"/>
                <w:sz w:val="17"/>
              </w:rPr>
              <w:t>系统状态机</w:t>
            </w:r>
          </w:p>
        </w:tc>
        <w:tc>
          <w:tcPr>
            <w:tcW w:type="dxa" w:w="3324"/>
          </w:tcPr>
          <w:p>
            <w:r>
              <w:rPr>
                <w:rFonts w:ascii="Times New Roman" w:hAnsi="Times New Roman" w:eastAsia="宋体"/>
                <w:sz w:val="17"/>
              </w:rPr>
              <w:t>《系统状态流转说明》</w:t>
            </w:r>
          </w:p>
        </w:tc>
      </w:tr>
      <w:tr>
        <w:tc>
          <w:tcPr>
            <w:tcW w:type="dxa" w:w="3324"/>
          </w:tcPr>
          <w:p>
            <w:r>
              <w:rPr>
                <w:rFonts w:ascii="Times New Roman" w:hAnsi="Times New Roman" w:eastAsia="宋体"/>
                <w:sz w:val="17"/>
              </w:rPr>
              <w:t>业务规则 R1–R10</w:t>
            </w:r>
          </w:p>
        </w:tc>
        <w:tc>
          <w:tcPr>
            <w:tcW w:type="dxa" w:w="3324"/>
          </w:tcPr>
          <w:p>
            <w:r>
              <w:rPr>
                <w:rFonts w:ascii="Times New Roman" w:hAnsi="Times New Roman" w:eastAsia="宋体"/>
                <w:sz w:val="17"/>
              </w:rPr>
              <w:t>系统规则与校验、测试用例</w:t>
            </w:r>
          </w:p>
        </w:tc>
        <w:tc>
          <w:tcPr>
            <w:tcW w:type="dxa" w:w="3324"/>
          </w:tcPr>
          <w:p>
            <w:r>
              <w:rPr>
                <w:rFonts w:ascii="Times New Roman" w:hAnsi="Times New Roman" w:eastAsia="宋体"/>
                <w:sz w:val="17"/>
              </w:rPr>
              <w:t>《系统规则与约束说明》《关键规则—需求—测试溯源表》</w:t>
            </w:r>
          </w:p>
        </w:tc>
      </w:tr>
      <w:tr>
        <w:tc>
          <w:tcPr>
            <w:tcW w:type="dxa" w:w="3324"/>
          </w:tcPr>
          <w:p>
            <w:r>
              <w:rPr>
                <w:rFonts w:ascii="Times New Roman" w:hAnsi="Times New Roman" w:eastAsia="宋体"/>
                <w:sz w:val="17"/>
              </w:rPr>
              <w:t>异常情况</w:t>
            </w:r>
          </w:p>
        </w:tc>
        <w:tc>
          <w:tcPr>
            <w:tcW w:type="dxa" w:w="3324"/>
          </w:tcPr>
          <w:p>
            <w:r>
              <w:rPr>
                <w:rFonts w:ascii="Times New Roman" w:hAnsi="Times New Roman" w:eastAsia="宋体"/>
                <w:sz w:val="17"/>
              </w:rPr>
              <w:t>异常流程/工单/告警/补偿</w:t>
            </w:r>
          </w:p>
        </w:tc>
        <w:tc>
          <w:tcPr>
            <w:tcW w:type="dxa" w:w="3324"/>
          </w:tcPr>
          <w:p>
            <w:r>
              <w:rPr>
                <w:rFonts w:ascii="Times New Roman" w:hAnsi="Times New Roman" w:eastAsia="宋体"/>
                <w:sz w:val="17"/>
              </w:rPr>
              <w:t>§10</w:t>
            </w:r>
          </w:p>
        </w:tc>
      </w:tr>
      <w:tr>
        <w:tc>
          <w:tcPr>
            <w:tcW w:type="dxa" w:w="3324"/>
          </w:tcPr>
          <w:p>
            <w:r>
              <w:rPr>
                <w:rFonts w:ascii="Times New Roman" w:hAnsi="Times New Roman" w:eastAsia="宋体"/>
                <w:sz w:val="17"/>
              </w:rPr>
              <w:t>可由系统承担的活动</w:t>
            </w:r>
          </w:p>
        </w:tc>
        <w:tc>
          <w:tcPr>
            <w:tcW w:type="dxa" w:w="3324"/>
          </w:tcPr>
          <w:p>
            <w:r>
              <w:rPr>
                <w:rFonts w:ascii="Times New Roman" w:hAnsi="Times New Roman" w:eastAsia="宋体"/>
                <w:sz w:val="17"/>
              </w:rPr>
              <w:t>自动化功能</w:t>
            </w:r>
          </w:p>
        </w:tc>
        <w:tc>
          <w:tcPr>
            <w:tcW w:type="dxa" w:w="3324"/>
          </w:tcPr>
          <w:p>
            <w:r>
              <w:rPr>
                <w:rFonts w:ascii="Times New Roman" w:hAnsi="Times New Roman" w:eastAsia="宋体"/>
                <w:sz w:val="17"/>
              </w:rPr>
              <w:t>§5（标记"自动"）</w:t>
            </w:r>
          </w:p>
        </w:tc>
      </w:tr>
    </w:tbl>
    <w:p>
      <w:pPr>
        <w:pStyle w:val="Heading1"/>
      </w:pPr>
      <w:r>
        <w:t>4. 系统目标</w:t>
      </w:r>
    </w:p>
    <w:p>
      <w:pPr>
        <w:ind w:left="420"/>
      </w:pPr>
      <w:r>
        <w:t xml:space="preserve">• </w:t>
      </w:r>
      <w:r>
        <w:rPr>
          <w:b/>
        </w:rPr>
        <w:t>GOAL-01</w:t>
      </w:r>
      <w:r>
        <w:t xml:space="preserve"> 支撑月会员流失率 8%→5%、爽约率 25%→15%、体验转化 30%→40%（与业务基线一致，可验证）。</w:t>
      </w:r>
    </w:p>
    <w:p>
      <w:pPr>
        <w:ind w:left="420"/>
      </w:pPr>
      <w:r>
        <w:t xml:space="preserve">• </w:t>
      </w:r>
      <w:r>
        <w:rPr>
          <w:b/>
        </w:rPr>
        <w:t>GOAL-02</w:t>
      </w:r>
      <w:r>
        <w:t xml:space="preserve"> 90% 以上日常约课与签到无需人工介入。</w:t>
      </w:r>
    </w:p>
    <w:p>
      <w:pPr>
        <w:ind w:left="420"/>
      </w:pPr>
      <w:r>
        <w:t xml:space="preserve">• </w:t>
      </w:r>
      <w:r>
        <w:rPr>
          <w:b/>
        </w:rPr>
        <w:t>GOAL-03</w:t>
      </w:r>
      <w:r>
        <w:t xml:space="preserve"> 会籍到期提醒、提成核算、对账、报表实现自动化。</w:t>
      </w:r>
    </w:p>
    <w:p>
      <w:pPr>
        <w:ind w:left="420"/>
      </w:pPr>
      <w:r>
        <w:t xml:space="preserve">• </w:t>
      </w:r>
      <w:r>
        <w:rPr>
          <w:b/>
        </w:rPr>
        <w:t>GOAL-04</w:t>
      </w:r>
      <w:r>
        <w:t xml:space="preserve"> 流失与爽约风险可预警、可跟进、可闭环。</w:t>
      </w:r>
    </w:p>
    <w:p>
      <w:pPr>
        <w:ind w:left="420"/>
      </w:pPr>
      <w:r>
        <w:t xml:space="preserve">• </w:t>
      </w:r>
      <w:r>
        <w:rPr>
          <w:b/>
        </w:rPr>
        <w:t>GOAL-05</w:t>
      </w:r>
      <w:r>
        <w:t xml:space="preserve"> 教练与场地资源可自助预约、可被门店统一编排，且资源占用不冲突。（S6）</w:t>
      </w:r>
    </w:p>
    <w:p>
      <w:pPr>
        <w:pStyle w:val="Heading1"/>
      </w:pPr>
      <w:r>
        <w:t>5. 功能需求（按模块，EARS 句式）</w:t>
      </w:r>
    </w:p>
    <w:p>
      <w:pPr>
        <w:pStyle w:val="Heading2"/>
      </w:pPr>
      <w:r>
        <w:t>S1（Must）：M1 会籍管理 / M3 课程与排课 / M4 预约与签到</w:t>
      </w:r>
    </w:p>
    <w:p>
      <w:pPr>
        <w:ind w:left="420"/>
      </w:pPr>
      <w:r>
        <w:t xml:space="preserve">• </w:t>
      </w:r>
      <w:r>
        <w:rPr>
          <w:b/>
        </w:rPr>
        <w:t>REQ-B1-001（Ubiquitous）</w:t>
      </w:r>
      <w:r>
        <w:t xml:space="preserve"> 系统应维护会员档案与状态（潜在/有效/冻结/过期），所有状态变更应留痕（操作人、时间、原因）。</w:t>
      </w:r>
    </w:p>
    <w:p>
      <w:pPr>
        <w:ind w:left="420"/>
      </w:pPr>
      <w:r>
        <w:t xml:space="preserve">• </w:t>
      </w:r>
      <w:r>
        <w:rPr>
          <w:b/>
        </w:rPr>
        <w:t>REQ-B1-002（Event-driven）</w:t>
      </w:r>
      <w:r>
        <w:t xml:space="preserve"> 当会员完成购卡支付时，系统应生成会籍合同并将其状态置为"有效"。</w:t>
      </w:r>
    </w:p>
    <w:p>
      <w:pPr>
        <w:ind w:left="420"/>
      </w:pPr>
      <w:r>
        <w:t xml:space="preserve">• </w:t>
      </w:r>
      <w:r>
        <w:rPr>
          <w:b/>
        </w:rPr>
        <w:t>REQ-B1-003（State-driven）</w:t>
      </w:r>
      <w:r>
        <w:t xml:space="preserve"> 在会籍处于"冻结"状态下，系统应禁止该会员发起预约。</w:t>
      </w:r>
    </w:p>
    <w:p>
      <w:pPr>
        <w:ind w:left="420"/>
      </w:pPr>
      <w:r>
        <w:t xml:space="preserve">• </w:t>
      </w:r>
      <w:r>
        <w:rPr>
          <w:b/>
        </w:rPr>
        <w:t>REQ-B1-004（Event-driven）</w:t>
      </w:r>
      <w:r>
        <w:t xml:space="preserve"> 当会籍距到期日 ≤ 7 天时，系统应向会员发送续费提醒。（R6，D=7）</w:t>
      </w:r>
    </w:p>
    <w:p>
      <w:pPr>
        <w:ind w:left="420"/>
      </w:pPr>
      <w:r>
        <w:t xml:space="preserve">• </w:t>
      </w:r>
      <w:r>
        <w:rPr>
          <w:b/>
        </w:rPr>
        <w:t>REQ-B1-005（Unwanted）</w:t>
      </w:r>
      <w:r>
        <w:t xml:space="preserve"> 若会籍已过期，则系统应拦截其预约请求并引导续费。</w:t>
      </w:r>
    </w:p>
    <w:p>
      <w:pPr>
        <w:ind w:left="420"/>
      </w:pPr>
      <w:r>
        <w:t xml:space="preserve">• </w:t>
      </w:r>
      <w:r>
        <w:rPr>
          <w:b/>
        </w:rPr>
        <w:t>REQ-B3-001（Event-driven）</w:t>
      </w:r>
      <w:r>
        <w:t xml:space="preserve"> 当教练提交排课时，系统应校验教练、场地与时间冲突；存在冲突时应拒绝并提示具体冲突项。</w:t>
      </w:r>
    </w:p>
    <w:p>
      <w:pPr>
        <w:ind w:left="420"/>
      </w:pPr>
      <w:r>
        <w:t xml:space="preserve">• </w:t>
      </w:r>
      <w:r>
        <w:rPr>
          <w:b/>
        </w:rPr>
        <w:t>REQ-B3-002（Event-driven）</w:t>
      </w:r>
      <w:r>
        <w:t xml:space="preserve"> 当课程发布时，系统应按容量开放预约名额，并支持候补队列。</w:t>
      </w:r>
    </w:p>
    <w:p>
      <w:pPr>
        <w:ind w:left="420"/>
      </w:pPr>
      <w:r>
        <w:t xml:space="preserve">• </w:t>
      </w:r>
      <w:r>
        <w:rPr>
          <w:b/>
        </w:rPr>
        <w:t>REQ-B1-006（Event-driven）</w:t>
      </w:r>
      <w:r>
        <w:t xml:space="preserve"> 当访客提交注册信息（用户名、密码、姓名、手机号）时，系统应在同一事务内创建登录账号、会员档案与角色绑定，并自动生成会员编号（M001 起），注册成功后直接签发令牌进入会员端。</w:t>
      </w:r>
    </w:p>
    <w:p>
      <w:pPr>
        <w:ind w:left="420"/>
      </w:pPr>
      <w:r>
        <w:t xml:space="preserve">• </w:t>
      </w:r>
      <w:r>
        <w:rPr>
          <w:b/>
        </w:rPr>
        <w:t>REQ-B3-003（Ubiquitous）</w:t>
      </w:r>
      <w:r>
        <w:t xml:space="preserve"> 系统应支持</w:t>
      </w:r>
      <w:r>
        <w:rPr>
          <w:b/>
        </w:rPr>
        <w:t>排课</w:t>
      </w:r>
      <w:r>
        <w:t>（新建课程）由管理员与店长共同承担；会员不得排课，越权请求应返回 403。</w:t>
      </w:r>
    </w:p>
    <w:p>
      <w:pPr>
        <w:ind w:left="420"/>
      </w:pPr>
      <w:r>
        <w:t xml:space="preserve">• </w:t>
      </w:r>
      <w:r>
        <w:rPr>
          <w:b/>
        </w:rPr>
        <w:t>REQ-B4-001（Event-driven）</w:t>
      </w:r>
      <w:r>
        <w:t xml:space="preserve"> 当会员提交预约时，系统应依次校验会籍有效性（R1）、课程容量与同成员时间冲突（R3）；校验失败应返回明确原因。</w:t>
      </w:r>
    </w:p>
    <w:p>
      <w:pPr>
        <w:ind w:left="420"/>
      </w:pPr>
      <w:r>
        <w:t xml:space="preserve">• </w:t>
      </w:r>
      <w:r>
        <w:rPr>
          <w:b/>
        </w:rPr>
        <w:t>REQ-B4-002（Event-driven）</w:t>
      </w:r>
      <w:r>
        <w:t xml:space="preserve"> 当会员扫码签到时，系统应将该预约状态更新为"已签到"并记录签到时间。</w:t>
      </w:r>
    </w:p>
    <w:p>
      <w:pPr>
        <w:ind w:left="420"/>
      </w:pPr>
      <w:r>
        <w:t xml:space="preserve">• </w:t>
      </w:r>
      <w:r>
        <w:rPr>
          <w:b/>
        </w:rPr>
        <w:t>REQ-B4-003（Unwanted）</w:t>
      </w:r>
      <w:r>
        <w:t xml:space="preserve"> 若预约会员在课程开始后 15 分钟（可配置）内未签到且未取消，则系统应将该预约标记为"爽约"并累计爽约次数。</w:t>
      </w:r>
    </w:p>
    <w:p>
      <w:pPr>
        <w:ind w:left="420"/>
      </w:pPr>
      <w:r>
        <w:t xml:space="preserve">• </w:t>
      </w:r>
      <w:r>
        <w:rPr>
          <w:b/>
        </w:rPr>
        <w:t>REQ-B4-004（State-driven）</w:t>
      </w:r>
      <w:r>
        <w:t xml:space="preserve"> 当会员累计爽约达 3 次时，系统应在 7 天内限制其预约权限（R4，N=3）。</w:t>
      </w:r>
    </w:p>
    <w:p>
      <w:pPr>
        <w:ind w:left="420"/>
      </w:pPr>
      <w:r>
        <w:t xml:space="preserve">• </w:t>
      </w:r>
      <w:r>
        <w:rPr>
          <w:b/>
        </w:rPr>
        <w:t>REQ-B4-005（Optional）</w:t>
      </w:r>
      <w:r>
        <w:t xml:space="preserve"> 在会员无法使用小程序的条件下（可选），系统应允许前台代签与代约，并记录代办人。</w:t>
      </w:r>
    </w:p>
    <w:p>
      <w:pPr>
        <w:ind w:left="420"/>
      </w:pPr>
      <w:r>
        <w:t xml:space="preserve">• </w:t>
      </w:r>
      <w:r>
        <w:rPr>
          <w:b/>
        </w:rPr>
        <w:t>REQ-B5-002（Event-driven）</w:t>
      </w:r>
      <w:r>
        <w:t xml:space="preserve"> 当私教课程结课时，系统应按 R5 自动核销该会员的私教课包次数，次数为 0 时禁止再排课。</w:t>
      </w:r>
    </w:p>
    <w:p>
      <w:pPr>
        <w:ind w:left="420"/>
      </w:pPr>
      <w:r>
        <w:t xml:space="preserve">• </w:t>
      </w:r>
      <w:r>
        <w:rPr>
          <w:b/>
        </w:rPr>
        <w:t>REQ-B4-006（Event-driven）</w:t>
      </w:r>
      <w:r>
        <w:t xml:space="preserve"> 当会员提交选课时，系统应为其本人创建报名记录；重复提交应保持幂等；当会员发起退课时，系统应校验"仅已预约状态可退、课程开始后不可退"，并即时释放名额。</w:t>
      </w:r>
    </w:p>
    <w:p>
      <w:pPr>
        <w:ind w:left="420"/>
      </w:pPr>
      <w:r>
        <w:t xml:space="preserve">• </w:t>
      </w:r>
      <w:r>
        <w:rPr>
          <w:b/>
        </w:rPr>
        <w:t>REQ-B4-007（Event-driven）</w:t>
      </w:r>
      <w:r>
        <w:t xml:space="preserve"> 当会员请求签到时，系统应生成含"预约号 + 会员号"的</w:t>
      </w:r>
      <w:r>
        <w:rPr>
          <w:b/>
        </w:rPr>
        <w:t>二维码</w:t>
      </w:r>
      <w:r>
        <w:t>作为签到凭据；门店扫码核销后应记录渠道为"扫码"；重复核销应返回状态冲突。</w:t>
      </w:r>
    </w:p>
    <w:p>
      <w:pPr>
        <w:ind w:left="420"/>
      </w:pPr>
      <w:r>
        <w:t xml:space="preserve">• </w:t>
      </w:r>
      <w:r>
        <w:rPr>
          <w:b/>
        </w:rPr>
        <w:t>REQ-B4-008（Event-driven）</w:t>
      </w:r>
      <w:r>
        <w:t xml:space="preserve"> 当门店后台或任课教练查询某课程时，系统应返回该课程的</w:t>
      </w:r>
      <w:r>
        <w:rPr>
          <w:b/>
        </w:rPr>
        <w:t>全部报名名单</w:t>
      </w:r>
      <w:r>
        <w:t>（含会员姓名、会员编号、状态与签到渠道）；会员与非本课教练不得查看。</w:t>
      </w:r>
    </w:p>
    <w:p>
      <w:pPr>
        <w:ind w:left="420"/>
      </w:pPr>
      <w:r>
        <w:t xml:space="preserve">• </w:t>
      </w:r>
      <w:r>
        <w:rPr>
          <w:b/>
        </w:rPr>
        <w:t>REQ-B4-009（Unwanted）</w:t>
      </w:r>
      <w:r>
        <w:t xml:space="preserve"> 若某课程的报名名单条数与该课程的已约人数不一致，则系统应保证「名单 ⇄ 余位」</w:t>
      </w:r>
      <w:r>
        <w:rPr>
          <w:b/>
        </w:rPr>
        <w:t>严格闭合</w:t>
      </w:r>
      <w:r>
        <w:t>：</w:t>
      </w:r>
    </w:p>
    <w:p>
      <w:r>
        <w:t>名单条数必须等于有效预约数（已约 + 已签到），已取消的预约既不进名单也不占余位；</w:t>
      </w:r>
    </w:p>
    <w:p>
      <w:r>
        <w:t>系统应在启动与重置演示数据等校正时机把 `booked_count` 重算为有效预约数，杜绝"显示 15/15 已满、名单却查不到人"的账实不符。</w:t>
      </w:r>
    </w:p>
    <w:p>
      <w:pPr>
        <w:pStyle w:val="Heading2"/>
      </w:pPr>
      <w:r>
        <w:t>S2（Must）：M5 收费与财务</w:t>
      </w:r>
    </w:p>
    <w:p>
      <w:pPr>
        <w:ind w:left="420"/>
      </w:pPr>
      <w:r>
        <w:t xml:space="preserve">• </w:t>
      </w:r>
      <w:r>
        <w:rPr>
          <w:b/>
        </w:rPr>
        <w:t>REQ-B5-001（Event-driven）</w:t>
      </w:r>
      <w:r>
        <w:t xml:space="preserve"> 当订单支付成功时，系统应记录订单并更新会籍有效期或课包余额。</w:t>
      </w:r>
    </w:p>
    <w:p>
      <w:pPr>
        <w:ind w:left="420"/>
      </w:pPr>
      <w:r>
        <w:t xml:space="preserve">• </w:t>
      </w:r>
      <w:r>
        <w:rPr>
          <w:b/>
        </w:rPr>
        <w:t>REQ-B5-003（Event-driven）</w:t>
      </w:r>
      <w:r>
        <w:t xml:space="preserve"> 当月度结算触发时，系统应生成对账单供财务核对确认（A10）。</w:t>
      </w:r>
    </w:p>
    <w:p>
      <w:pPr>
        <w:ind w:left="420"/>
      </w:pPr>
      <w:r>
        <w:t xml:space="preserve">• </w:t>
      </w:r>
      <w:r>
        <w:rPr>
          <w:b/>
        </w:rPr>
        <w:t>REQ-B5-004（Unwanted）</w:t>
      </w:r>
      <w:r>
        <w:t xml:space="preserve"> 若支付回调失败或支付金额与订单不一致，则系统应标记订单为异常并触发告警，且不得变更会籍状态。</w:t>
      </w:r>
    </w:p>
    <w:p>
      <w:pPr>
        <w:ind w:left="420"/>
      </w:pPr>
      <w:r>
        <w:t xml:space="preserve">• </w:t>
      </w:r>
      <w:r>
        <w:rPr>
          <w:b/>
        </w:rPr>
        <w:t>REQ-B5-006（Event-driven）</w:t>
      </w:r>
      <w:r>
        <w:t xml:space="preserve"> 当会籍到期且未续费时，系统应将会员状态置为"过期"并按 R7 纳入流失风险观察。</w:t>
      </w:r>
    </w:p>
    <w:p>
      <w:pPr>
        <w:pStyle w:val="Heading2"/>
      </w:pPr>
      <w:r>
        <w:t>S3（Should）：M2 会员服务 / M5 收费与财务 / M7 体测与数据</w:t>
      </w:r>
    </w:p>
    <w:p>
      <w:pPr>
        <w:ind w:left="420"/>
      </w:pPr>
      <w:r>
        <w:t xml:space="preserve">• </w:t>
      </w:r>
      <w:r>
        <w:rPr>
          <w:b/>
        </w:rPr>
        <w:t>REQ-B2-001（Event-driven）</w:t>
      </w:r>
      <w:r>
        <w:t xml:space="preserve"> 当会员办卡后 30 天内到店次数 &lt; 2 次时，系统应生成跟进任务并分配至会籍顾问（R9）。</w:t>
      </w:r>
    </w:p>
    <w:p>
      <w:pPr>
        <w:ind w:left="420"/>
      </w:pPr>
      <w:r>
        <w:t xml:space="preserve">• </w:t>
      </w:r>
      <w:r>
        <w:rPr>
          <w:b/>
        </w:rPr>
        <w:t>REQ-B2-002（Event-driven）</w:t>
      </w:r>
      <w:r>
        <w:t xml:space="preserve"> 当系统生成跟进任务时，系统应通知责任人并支持记录跟进结果（电话/微信/到店）。</w:t>
      </w:r>
    </w:p>
    <w:p>
      <w:pPr>
        <w:ind w:left="420"/>
      </w:pPr>
      <w:r>
        <w:t xml:space="preserve">• </w:t>
      </w:r>
      <w:r>
        <w:rPr>
          <w:b/>
        </w:rPr>
        <w:t>REQ-B5-005（Event-driven）</w:t>
      </w:r>
      <w:r>
        <w:t xml:space="preserve"> 当月末结算触发时，系统应按 R10 自动核算私教业绩与提成，生成提成报表供店长确认。</w:t>
      </w:r>
    </w:p>
    <w:p>
      <w:pPr>
        <w:ind w:left="420"/>
      </w:pPr>
      <w:r>
        <w:t xml:space="preserve">• </w:t>
      </w:r>
      <w:r>
        <w:rPr>
          <w:b/>
        </w:rPr>
        <w:t>REQ-B7-001（Event-driven）</w:t>
      </w:r>
      <w:r>
        <w:t xml:space="preserve"> 当私教录入体测数据时，系统应保存为会员体测档案，字段包含身高、体重、BMI、体脂率、围度。</w:t>
      </w:r>
    </w:p>
    <w:p>
      <w:pPr>
        <w:ind w:left="420"/>
      </w:pPr>
      <w:r>
        <w:t xml:space="preserve">• </w:t>
      </w:r>
      <w:r>
        <w:rPr>
          <w:b/>
        </w:rPr>
        <w:t>REQ-B7-002（Ubiquitous）</w:t>
      </w:r>
      <w:r>
        <w:t xml:space="preserve"> 系统应支持体测历史记录的对比展示（时间序列）。</w:t>
      </w:r>
    </w:p>
    <w:p>
      <w:pPr>
        <w:pStyle w:val="Heading2"/>
      </w:pPr>
      <w:r>
        <w:t>S4（Should，创新）：M8 报表与预警</w:t>
      </w:r>
    </w:p>
    <w:p>
      <w:pPr>
        <w:ind w:left="420"/>
      </w:pPr>
      <w:r>
        <w:t xml:space="preserve">• </w:t>
      </w:r>
      <w:r>
        <w:rPr>
          <w:b/>
        </w:rPr>
        <w:t>REQ-B8-001（Event-driven）</w:t>
      </w:r>
      <w:r>
        <w:t xml:space="preserve"> 系统应每日计算会员流失风险等级（R7），输出风险清单。</w:t>
      </w:r>
    </w:p>
    <w:p>
      <w:pPr>
        <w:ind w:left="420"/>
      </w:pPr>
      <w:r>
        <w:t xml:space="preserve">• </w:t>
      </w:r>
      <w:r>
        <w:rPr>
          <w:b/>
        </w:rPr>
        <w:t>REQ-B8-002（Event-driven）</w:t>
      </w:r>
      <w:r>
        <w:t xml:space="preserve"> 当会员连续 4 周未到店，或近 30 天爽约率 &gt; 30% 时，系统应将其标记为"高风险"并生成跟进任务。</w:t>
      </w:r>
    </w:p>
    <w:p>
      <w:pPr>
        <w:ind w:left="420"/>
      </w:pPr>
      <w:r>
        <w:t xml:space="preserve">• </w:t>
      </w:r>
      <w:r>
        <w:rPr>
          <w:b/>
        </w:rPr>
        <w:t>REQ-B8-003（Event-driven）</w:t>
      </w:r>
      <w:r>
        <w:t xml:space="preserve"> 系统应对即将开始的预约预测爽约概率（R8）。</w:t>
      </w:r>
    </w:p>
    <w:p>
      <w:pPr>
        <w:ind w:left="420"/>
      </w:pPr>
      <w:r>
        <w:t xml:space="preserve">• </w:t>
      </w:r>
      <w:r>
        <w:rPr>
          <w:b/>
        </w:rPr>
        <w:t>REQ-B8-004（Event-driven）</w:t>
      </w:r>
      <w:r>
        <w:t xml:space="preserve"> 当某预约爽约概率 &gt; 0.6 且课程已满员时，系统应释放该名额并通知候补会员（R8，T=0.6）。</w:t>
      </w:r>
    </w:p>
    <w:p>
      <w:pPr>
        <w:ind w:left="420"/>
      </w:pPr>
      <w:r>
        <w:t xml:space="preserve">• </w:t>
      </w:r>
      <w:r>
        <w:rPr>
          <w:b/>
        </w:rPr>
        <w:t>REQ-B8-005（Event-driven）</w:t>
      </w:r>
      <w:r>
        <w:t xml:space="preserve"> 当某预约爽约概率 &gt; 0.6 且课程未满员时，系统应向该会员发送到店提醒。</w:t>
      </w:r>
    </w:p>
    <w:p>
      <w:pPr>
        <w:ind w:left="420"/>
      </w:pPr>
      <w:r>
        <w:t xml:space="preserve">• </w:t>
      </w:r>
      <w:r>
        <w:rPr>
          <w:b/>
        </w:rPr>
        <w:t>REQ-B8-006（Unwanted）</w:t>
      </w:r>
      <w:r>
        <w:t xml:space="preserve"> 若预警任务超过 48 小时未被处理，则系统应升级提醒至店长。</w:t>
      </w:r>
    </w:p>
    <w:p>
      <w:pPr>
        <w:pStyle w:val="Heading2"/>
      </w:pPr>
      <w:r>
        <w:t>S5（Could）：M8 报表与预警 / M6 器材与场地</w:t>
      </w:r>
    </w:p>
    <w:p>
      <w:pPr>
        <w:ind w:left="420"/>
      </w:pPr>
      <w:r>
        <w:t xml:space="preserve">• </w:t>
      </w:r>
      <w:r>
        <w:rPr>
          <w:b/>
        </w:rPr>
        <w:t>REQ-B8-007（Event-driven）</w:t>
      </w:r>
      <w:r>
        <w:t xml:space="preserve"> 当会员提交投诉/报修/受伤登记时，系统应生成工单并通知店长（O8）。</w:t>
      </w:r>
    </w:p>
    <w:p>
      <w:pPr>
        <w:ind w:left="420"/>
      </w:pPr>
      <w:r>
        <w:t xml:space="preserve">• </w:t>
      </w:r>
      <w:r>
        <w:rPr>
          <w:b/>
        </w:rPr>
        <w:t>REQ-B8-008（State-driven）</w:t>
      </w:r>
      <w:r>
        <w:t xml:space="preserve"> 在工单处于"处理中"状态时，系统应允许记录处理过程；工单关闭前应填写处理结果。</w:t>
      </w:r>
    </w:p>
    <w:p>
      <w:pPr>
        <w:ind w:left="420"/>
      </w:pPr>
      <w:r>
        <w:t xml:space="preserve">• </w:t>
      </w:r>
      <w:r>
        <w:rPr>
          <w:b/>
        </w:rPr>
        <w:t>REQ-B8-009（Ubiquitous）</w:t>
      </w:r>
      <w:r>
        <w:t xml:space="preserve"> 系统应提供经营报表与预警看板（详见《输出报表与统计需求说明》）。</w:t>
      </w:r>
    </w:p>
    <w:p>
      <w:pPr>
        <w:ind w:left="420"/>
      </w:pPr>
      <w:r>
        <w:t xml:space="preserve">• </w:t>
      </w:r>
      <w:r>
        <w:rPr>
          <w:b/>
        </w:rPr>
        <w:t>REQ-B6-001（Event-driven）</w:t>
      </w:r>
      <w:r>
        <w:t xml:space="preserve"> 当器材状态变更（可用/维修/借出）时，系统应记录变更并支持生成报修工单。</w:t>
      </w:r>
    </w:p>
    <w:p>
      <w:pPr>
        <w:pStyle w:val="Heading2"/>
      </w:pPr>
      <w:r>
        <w:t>S6（Should，迭代新增）：M3 课程与排课 / M6 器材与场地</w:t>
      </w:r>
    </w:p>
    <w:p>
      <w:pPr>
        <w:ind w:left="420"/>
      </w:pPr>
      <w:r>
        <w:t xml:space="preserve">• </w:t>
      </w:r>
      <w:r>
        <w:rPr>
          <w:b/>
        </w:rPr>
        <w:t>REQ-B3-004（Ubiquitous）</w:t>
      </w:r>
      <w:r>
        <w:t xml:space="preserve"> 系统应维护</w:t>
      </w:r>
      <w:r>
        <w:rPr>
          <w:b/>
        </w:rPr>
        <w:t>教练档案</w:t>
      </w:r>
      <w:r>
        <w:t>（编号、姓名、手机号、擅长项目、状态、关联登录账号）；教练档案被课程引用，因此不提供物理删除，停用应改为"休假"状态。</w:t>
      </w:r>
    </w:p>
    <w:p>
      <w:pPr>
        <w:ind w:left="420"/>
      </w:pPr>
      <w:r>
        <w:t xml:space="preserve">• </w:t>
      </w:r>
      <w:r>
        <w:rPr>
          <w:b/>
        </w:rPr>
        <w:t>REQ-B3-005（Event-driven）</w:t>
      </w:r>
      <w:r>
        <w:t xml:space="preserve"> 当教练账号登录时，系统应识别其为独立角色（COACH）并进入教练端；教练应能查看</w:t>
      </w:r>
      <w:r>
        <w:rPr>
          <w:b/>
        </w:rPr>
        <w:t>自己的课表</w:t>
      </w:r>
      <w:r>
        <w:t>与所授课程的学员名单。</w:t>
      </w:r>
    </w:p>
    <w:p>
      <w:pPr>
        <w:ind w:left="420"/>
      </w:pPr>
      <w:r>
        <w:t xml:space="preserve">• </w:t>
      </w:r>
      <w:r>
        <w:rPr>
          <w:b/>
        </w:rPr>
        <w:t>REQ-B3-006（Event-driven）</w:t>
      </w:r>
      <w:r>
        <w:t xml:space="preserve"> 当教练对</w:t>
      </w:r>
      <w:r>
        <w:rPr>
          <w:b/>
        </w:rPr>
        <w:t>自己所授课程</w:t>
      </w:r>
      <w:r>
        <w:t>的报名会员核销签到时，系统应完成签到；对非本人课程的核销请求应被拒绝。</w:t>
      </w:r>
    </w:p>
    <w:p>
      <w:pPr>
        <w:ind w:left="420"/>
      </w:pPr>
      <w:r>
        <w:t xml:space="preserve">• </w:t>
      </w:r>
      <w:r>
        <w:rPr>
          <w:b/>
        </w:rPr>
        <w:t>REQ-B6-002（Ubiquitous）</w:t>
      </w:r>
      <w:r>
        <w:t xml:space="preserve"> 系统应维护</w:t>
      </w:r>
      <w:r>
        <w:rPr>
          <w:b/>
        </w:rPr>
        <w:t>场馆档案</w:t>
      </w:r>
      <w:r>
        <w:t>：编号、名称、类型（私有场馆 / 公共区域）、容量、位置、按时使用费、状态（可用 / 维护中）；其中私有场馆 4 个、公共区域 1 个。</w:t>
      </w:r>
    </w:p>
    <w:p>
      <w:pPr>
        <w:ind w:left="420"/>
      </w:pPr>
      <w:r>
        <w:t xml:space="preserve">• </w:t>
      </w:r>
      <w:r>
        <w:rPr>
          <w:b/>
        </w:rPr>
        <w:t>REQ-B6-003（Event-driven）</w:t>
      </w:r>
      <w:r>
        <w:t xml:space="preserve"> 当会员或门店提交场地预约时，系统应为其创建预约记录；预约来源应区分"会员自助"与"门店代约"。</w:t>
      </w:r>
    </w:p>
    <w:p>
      <w:pPr>
        <w:ind w:left="420"/>
      </w:pPr>
      <w:r>
        <w:t xml:space="preserve">• </w:t>
      </w:r>
      <w:r>
        <w:rPr>
          <w:b/>
        </w:rPr>
        <w:t>REQ-B6-004（Unwanted）</w:t>
      </w:r>
      <w:r>
        <w:t xml:space="preserve"> 若目标场地在所选时段内已有有效预约，则系统应拒绝本次预约并提示"同一场地时段不可重叠"。</w:t>
      </w:r>
    </w:p>
    <w:p>
      <w:pPr>
        <w:ind w:left="420"/>
      </w:pPr>
      <w:r>
        <w:t xml:space="preserve">• </w:t>
      </w:r>
      <w:r>
        <w:rPr>
          <w:b/>
        </w:rPr>
        <w:t>REQ-B6-005（State-driven）</w:t>
      </w:r>
      <w:r>
        <w:t xml:space="preserve"> 在</w:t>
      </w:r>
      <w:r>
        <w:rPr>
          <w:b/>
        </w:rPr>
        <w:t>私有场馆</w:t>
      </w:r>
      <w:r>
        <w:t>上，系统应仅对有效会籍开放预约；在</w:t>
      </w:r>
      <w:r>
        <w:rPr>
          <w:b/>
        </w:rPr>
        <w:t>公共区域</w:t>
      </w:r>
      <w:r>
        <w:t>上，系统不应限制会籍状态；维护中的场馆一律不可预约。</w:t>
      </w:r>
    </w:p>
    <w:p>
      <w:pPr>
        <w:ind w:left="420"/>
      </w:pPr>
      <w:r>
        <w:t xml:space="preserve">• </w:t>
      </w:r>
      <w:r>
        <w:rPr>
          <w:b/>
        </w:rPr>
        <w:t>REQ-B6-006（Event-driven）</w:t>
      </w:r>
      <w:r>
        <w:t xml:space="preserve"> 当会员或门店取消场地预约时，系统应释放该时段；重复取消应返回状态冲突。</w:t>
      </w:r>
    </w:p>
    <w:p>
      <w:pPr>
        <w:pStyle w:val="Heading2"/>
      </w:pPr>
      <w:r>
        <w:t>S7（Must，迭代新增）：M0 账号与权限 / M3 课表化排课 / M6 场馆占用</w:t>
      </w:r>
    </w:p>
    <w:p>
      <w:pPr>
        <w:ind w:left="283"/>
      </w:pPr>
      <w:r>
        <w:t>本组来自第二轮迭代：把"课程管理 / 场馆管理"升级为</w:t>
      </w:r>
      <w:r>
        <w:rPr>
          <w:b/>
        </w:rPr>
        <w:t>课表式管理</w:t>
      </w:r>
      <w:r>
        <w:t>，并引入</w:t>
      </w:r>
      <w:r>
        <w:rPr>
          <w:b/>
        </w:rPr>
        <w:t>超级管理员</w:t>
      </w:r>
      <w:r>
        <w:t>做账号治理。</w:t>
      </w:r>
    </w:p>
    <w:p>
      <w:pPr>
        <w:ind w:left="420"/>
      </w:pPr>
      <w:r>
        <w:t xml:space="preserve">• </w:t>
      </w:r>
      <w:r>
        <w:rPr>
          <w:b/>
        </w:rPr>
        <w:t>REQ-M0-006（Ubiquitous）</w:t>
      </w:r>
      <w:r>
        <w:t xml:space="preserve"> 系统应提供</w:t>
      </w:r>
      <w:r>
        <w:rPr>
          <w:b/>
        </w:rPr>
        <w:t>超级管理员</w:t>
      </w:r>
      <w:r>
        <w:t>角色（最高权限）：可查看全部账号、重置任意账号密码、启用或停用账号；普通管理员与店长不得拥有上述能力，请求应返回 403。</w:t>
      </w:r>
    </w:p>
    <w:p>
      <w:pPr>
        <w:ind w:left="420"/>
      </w:pPr>
      <w:r>
        <w:t xml:space="preserve">• </w:t>
      </w:r>
      <w:r>
        <w:rPr>
          <w:b/>
        </w:rPr>
        <w:t>REQ-M0-007（Event-driven）</w:t>
      </w:r>
      <w:r>
        <w:t xml:space="preserve"> 当超级管理员查看账号总览时，系统应列出每个账号的用户名、姓名、角色、数据归属（绑定的会员 / 教练）、状态、密码状态（是否重置过、何时重置）。</w:t>
      </w:r>
    </w:p>
    <w:p>
      <w:pPr>
        <w:ind w:left="420"/>
      </w:pPr>
      <w:r>
        <w:t xml:space="preserve">• </w:t>
      </w:r>
      <w:r>
        <w:rPr>
          <w:b/>
        </w:rPr>
        <w:t>REQ-M0-008（Unwanted）</w:t>
      </w:r>
      <w:r>
        <w:t xml:space="preserve"> 若系统以不可逆哈希存储密码，则系统</w:t>
      </w:r>
      <w:r>
        <w:rPr>
          <w:b/>
        </w:rPr>
        <w:t>不应</w:t>
      </w:r>
      <w:r>
        <w:t>提供查看明文密码的能力；需要掌握某账号凭据时，应由超级管理员执行"重置密码"，系统重置为默认密码并</w:t>
      </w:r>
      <w:r>
        <w:rPr>
          <w:b/>
        </w:rPr>
        <w:t>在响应中返回新密码</w:t>
      </w:r>
      <w:r>
        <w:t>，同时记录审计日志。</w:t>
      </w:r>
    </w:p>
    <w:p>
      <w:pPr>
        <w:ind w:left="420"/>
      </w:pPr>
      <w:r>
        <w:t xml:space="preserve">• </w:t>
      </w:r>
      <w:r>
        <w:rPr>
          <w:b/>
        </w:rPr>
        <w:t>REQ-M0-009（Unwanted）</w:t>
      </w:r>
      <w:r>
        <w:t xml:space="preserve"> 若超级管理员尝试停用</w:t>
      </w:r>
      <w:r>
        <w:rPr>
          <w:b/>
        </w:rPr>
        <w:t>当前登录账号</w:t>
      </w:r>
      <w:r>
        <w:t>或</w:t>
      </w:r>
      <w:r>
        <w:rPr>
          <w:b/>
        </w:rPr>
        <w:t>另一个超级管理员账号</w:t>
      </w:r>
      <w:r>
        <w:t>，则系统应拒绝该操作。</w:t>
      </w:r>
    </w:p>
    <w:p>
      <w:pPr>
        <w:ind w:left="420"/>
      </w:pPr>
      <w:r>
        <w:t xml:space="preserve">• </w:t>
      </w:r>
      <w:r>
        <w:rPr>
          <w:b/>
        </w:rPr>
        <w:t>REQ-B3-007（Event-driven）</w:t>
      </w:r>
      <w:r>
        <w:t xml:space="preserve"> 当任意已登录用户进入课表页面时，系统应按角色返回</w:t>
      </w:r>
      <w:r>
        <w:rPr>
          <w:b/>
        </w:rPr>
        <w:t>周课表</w:t>
      </w:r>
      <w:r>
        <w:t>（周一至周日七列，无安排的日期保留为空）：</w:t>
      </w:r>
    </w:p>
    <w:p>
      <w:r>
        <w:t>会员看到本人已选课程，教练看到本人所授课程，门店后台看到全店课程表；会员与教练传入的任何越权范围参数都应被服务端归一化，不得返回他人课表。</w:t>
      </w:r>
    </w:p>
    <w:p>
      <w:pPr>
        <w:ind w:left="420"/>
      </w:pPr>
      <w:r>
        <w:t xml:space="preserve">• </w:t>
      </w:r>
      <w:r>
        <w:rPr>
          <w:b/>
        </w:rPr>
        <w:t>REQ-B3-008（Event-driven）</w:t>
      </w:r>
      <w:r>
        <w:t xml:space="preserve"> 当门店后台按会员或教练筛选课表时，系统应只返回该会员已选 / 该教练所授的课程，并在课表标题中写明筛选对象。</w:t>
      </w:r>
    </w:p>
    <w:p>
      <w:pPr>
        <w:ind w:left="420"/>
      </w:pPr>
      <w:r>
        <w:t xml:space="preserve">• </w:t>
      </w:r>
      <w:r>
        <w:rPr>
          <w:b/>
        </w:rPr>
        <w:t>REQ-B6-007（Event-driven）</w:t>
      </w:r>
      <w:r>
        <w:t xml:space="preserve"> 当门店后台查看场馆占用课表时，系统应按周展示各场馆的占用时段（含会员姓名、来源），并支持按场馆筛选；已取消的预约不应继续占用课表。</w:t>
      </w:r>
    </w:p>
    <w:p>
      <w:pPr>
        <w:ind w:left="420"/>
      </w:pPr>
      <w:r>
        <w:t xml:space="preserve">• </w:t>
      </w:r>
      <w:r>
        <w:rPr>
          <w:b/>
        </w:rPr>
        <w:t>REQ-M0-010（Ubiquitous）</w:t>
      </w:r>
      <w:r>
        <w:t xml:space="preserve"> 课程管理与场馆管理页面应提供</w:t>
      </w:r>
      <w:r>
        <w:rPr>
          <w:b/>
        </w:rPr>
        <w:t>列表视图 ⇄ 周课表视图</w:t>
      </w:r>
      <w:r>
        <w:t>切换；周课表中的课程卡片应可点击进入编辑。</w:t>
      </w:r>
    </w:p>
    <w:p>
      <w:pPr>
        <w:ind w:left="420"/>
      </w:pPr>
      <w:r>
        <w:t xml:space="preserve">• </w:t>
      </w:r>
      <w:r>
        <w:rPr>
          <w:b/>
        </w:rPr>
        <w:t>REQ-M0-011（Event-driven）</w:t>
      </w:r>
      <w:r>
        <w:t xml:space="preserve"> 当本周已无"可报名的未来排课"（演示课程漂移到过去）时，系统应在启动时把基础演示课程与演示场地预约对齐到本周剩余的未来日期，保证课表视图始终有内容；系统内已有本周真实排课 / 占用时不得覆盖。</w:t>
      </w:r>
    </w:p>
    <w:p>
      <w:pPr>
        <w:pStyle w:val="Heading2"/>
      </w:pPr>
      <w:r>
        <w:t>支撑（M0，全部切片共用）</w:t>
      </w:r>
    </w:p>
    <w:p>
      <w:pPr>
        <w:ind w:left="420"/>
      </w:pPr>
      <w:r>
        <w:t xml:space="preserve">• </w:t>
      </w:r>
      <w:r>
        <w:rPr>
          <w:b/>
        </w:rPr>
        <w:t>REQ-M0-001（Ubiquitous）</w:t>
      </w:r>
      <w:r>
        <w:t xml:space="preserve"> 系统应按角色控制功能访问与数据可见范围。</w:t>
      </w:r>
    </w:p>
    <w:p>
      <w:pPr>
        <w:ind w:left="420"/>
      </w:pPr>
      <w:r>
        <w:t xml:space="preserve">• </w:t>
      </w:r>
      <w:r>
        <w:rPr>
          <w:b/>
        </w:rPr>
        <w:t>REQ-M0-002（Ubiquitous）</w:t>
      </w:r>
      <w:r>
        <w:t xml:space="preserve"> 系统应支持基础数据维护（字典、课程目录、器材、教练）。</w:t>
      </w:r>
    </w:p>
    <w:p>
      <w:pPr>
        <w:ind w:left="420"/>
      </w:pPr>
      <w:r>
        <w:t xml:space="preserve">• </w:t>
      </w:r>
      <w:r>
        <w:rPr>
          <w:b/>
        </w:rPr>
        <w:t>REQ-M0-003（Ubiquitous）</w:t>
      </w:r>
      <w:r>
        <w:t xml:space="preserve"> 系统应记录关键操作的审计日志（登录、权限变更、状态变更、财务相关操作）。</w:t>
      </w:r>
    </w:p>
    <w:p>
      <w:pPr>
        <w:ind w:left="420"/>
      </w:pPr>
      <w:r>
        <w:t xml:space="preserve">• </w:t>
      </w:r>
      <w:r>
        <w:rPr>
          <w:b/>
        </w:rPr>
        <w:t>REQ-M0-004（Ubiquitous）</w:t>
      </w:r>
      <w:r>
        <w:t xml:space="preserve"> 系统应提供</w:t>
      </w:r>
      <w:r>
        <w:rPr>
          <w:b/>
        </w:rPr>
        <w:t>两步登录</w:t>
      </w:r>
      <w:r>
        <w:t>（先选身份、再输账号密码）；所选身份与账号实际角色不一致时应拒绝登录并提示重新选择；登录后按角色渲染左侧导航，同一时刻只展示一个功能页面。</w:t>
      </w:r>
    </w:p>
    <w:p>
      <w:pPr>
        <w:ind w:left="420"/>
      </w:pPr>
      <w:r>
        <w:t xml:space="preserve">• </w:t>
      </w:r>
      <w:r>
        <w:rPr>
          <w:b/>
        </w:rPr>
        <w:t>REQ-M0-005（Ubiquitous）</w:t>
      </w:r>
      <w:r>
        <w:t xml:space="preserve"> 对课程、场馆、教练等列表类页面，系统应提供</w:t>
      </w:r>
      <w:r>
        <w:rPr>
          <w:b/>
        </w:rPr>
        <w:t>分页</w:t>
      </w:r>
      <w:r>
        <w:t>（默认每页 6 条）与关键字搜索，避免单页信息过载。</w:t>
      </w:r>
    </w:p>
    <w:p>
      <w:pPr>
        <w:pStyle w:val="Heading1"/>
      </w:pPr>
      <w:r>
        <w:t>6. 状态机需求</w:t>
      </w:r>
    </w:p>
    <w:p>
      <w:r>
        <w:t>系统应实现会员/会籍、预约、课程、订单、工单五类状态机，状态与迁移条件见《系统状态流转说明》。</w:t>
      </w:r>
    </w:p>
    <w:p>
      <w:pPr>
        <w:pStyle w:val="Heading1"/>
      </w:pPr>
      <w:r>
        <w:t>7. 规则需求</w:t>
      </w:r>
    </w:p>
    <w:p>
      <w:r>
        <w:t>R1–R10 全部转为系统规则（编号 SYS-R1–SYS-R10）与校验逻辑，见《系统规则与约束说明》；关键规则须有对应测试用例，见《关键规则—需求—测试溯源表》。</w:t>
      </w:r>
    </w:p>
    <w:p>
      <w:pPr>
        <w:pStyle w:val="Heading1"/>
      </w:pPr>
      <w:r>
        <w:t>8. 数据需求</w:t>
      </w:r>
    </w:p>
    <w:p>
      <w:pPr>
        <w:ind w:left="420"/>
      </w:pPr>
      <w:r>
        <w:t xml:space="preserve">• </w:t>
      </w:r>
      <w:r>
        <w:rPr>
          <w:b/>
        </w:rPr>
        <w:t>领域对象</w:t>
      </w:r>
      <w:r>
        <w:t>：会员、会籍合同、课程、预约、器材、体测记录、收费订单、工单（对应 O1–O8）。</w:t>
      </w:r>
    </w:p>
    <w:p>
      <w:pPr>
        <w:ind w:left="420"/>
      </w:pPr>
      <w:r>
        <w:t xml:space="preserve">• </w:t>
      </w:r>
      <w:r>
        <w:rPr>
          <w:b/>
        </w:rPr>
        <w:t>关键字段流转</w:t>
      </w:r>
      <w:r>
        <w:t>：页面字段（如约课页：课程、时间、剩余名额）→ 接口参数（memberId, courseId）→ 数据库字段（booking.member_id, booking.course_id, booking.status）。</w:t>
      </w:r>
    </w:p>
    <w:p>
      <w:pPr>
        <w:ind w:left="420"/>
      </w:pPr>
      <w:r>
        <w:t xml:space="preserve">• </w:t>
      </w:r>
      <w:r>
        <w:rPr>
          <w:b/>
        </w:rPr>
        <w:t>数据口径</w:t>
      </w:r>
      <w:r>
        <w:t>：活跃会员=近 30 天有签到记录；爽约率=爽约次数/预约次数；转化率=办卡人数/体验人数（详见报表说明）。</w:t>
      </w:r>
    </w:p>
    <w:p>
      <w:pPr>
        <w:pStyle w:val="Heading1"/>
      </w:pPr>
      <w:r>
        <w:t>9. 接口需求</w:t>
      </w:r>
    </w:p>
    <w:p>
      <w:r>
        <w:t>内部与外部接口清单见《接口契约初步清单》（含微信登录、微信支付、订阅消息、短信等外部依赖）。</w:t>
      </w:r>
    </w:p>
    <w:p>
      <w:pPr>
        <w:pStyle w:val="Heading1"/>
      </w:pPr>
      <w:r>
        <w:t>10. 异常与补偿机制</w:t>
      </w:r>
    </w:p>
    <w:tbl>
      <w:tblPr>
        <w:tblStyle w:val="TableGrid"/>
        <w:tblW w:type="auto" w:w="0"/>
        <w:tblLook w:firstColumn="1" w:firstRow="1" w:lastColumn="0" w:lastRow="0" w:noHBand="0" w:noVBand="1" w:val="04A0"/>
      </w:tblPr>
      <w:tblGrid>
        <w:gridCol w:w="4986"/>
        <w:gridCol w:w="4986"/>
      </w:tblGrid>
      <w:tr>
        <w:tc>
          <w:tcPr>
            <w:tcW w:type="dxa" w:w="4986"/>
          </w:tcPr>
          <w:p/>
        </w:tc>
        <w:tc>
          <w:tcPr>
            <w:tcW w:type="dxa" w:w="4986"/>
          </w:tcPr>
          <w:p/>
        </w:tc>
      </w:tr>
      <w:tr>
        <w:tc>
          <w:tcPr>
            <w:tcW w:type="dxa" w:w="4986"/>
          </w:tcPr>
          <w:p>
            <w:r>
              <w:rPr>
                <w:rFonts w:ascii="Times New Roman" w:hAnsi="Times New Roman" w:eastAsia="宋体"/>
                <w:sz w:val="17"/>
              </w:rPr>
              <w:t>异常场景</w:t>
            </w:r>
          </w:p>
        </w:tc>
        <w:tc>
          <w:tcPr>
            <w:tcW w:type="dxa" w:w="4986"/>
          </w:tcPr>
          <w:p>
            <w:r>
              <w:rPr>
                <w:rFonts w:ascii="Times New Roman" w:hAnsi="Times New Roman" w:eastAsia="宋体"/>
                <w:sz w:val="17"/>
              </w:rPr>
              <w:t>系统处理</w:t>
            </w:r>
          </w:p>
        </w:tc>
      </w:tr>
      <w:tr>
        <w:tc>
          <w:tcPr>
            <w:tcW w:type="dxa" w:w="4986"/>
          </w:tcPr>
          <w:p>
            <w:r>
              <w:rPr>
                <w:rFonts w:ascii="Times New Roman" w:hAnsi="Times New Roman" w:eastAsia="宋体"/>
                <w:sz w:val="17"/>
              </w:rPr>
              <w:t>支付回调失败/金额不符</w:t>
            </w:r>
          </w:p>
        </w:tc>
        <w:tc>
          <w:tcPr>
            <w:tcW w:type="dxa" w:w="4986"/>
          </w:tcPr>
          <w:p>
            <w:r>
              <w:rPr>
                <w:rFonts w:ascii="Times New Roman" w:hAnsi="Times New Roman" w:eastAsia="宋体"/>
                <w:sz w:val="17"/>
              </w:rPr>
              <w:t>订单标异常 + 告警，会籍不变更（REQ-B5-004）</w:t>
            </w:r>
          </w:p>
        </w:tc>
      </w:tr>
      <w:tr>
        <w:tc>
          <w:tcPr>
            <w:tcW w:type="dxa" w:w="4986"/>
          </w:tcPr>
          <w:p>
            <w:r>
              <w:rPr>
                <w:rFonts w:ascii="Times New Roman" w:hAnsi="Times New Roman" w:eastAsia="宋体"/>
                <w:sz w:val="17"/>
              </w:rPr>
              <w:t>约课冲突/超额</w:t>
            </w:r>
          </w:p>
        </w:tc>
        <w:tc>
          <w:tcPr>
            <w:tcW w:type="dxa" w:w="4986"/>
          </w:tcPr>
          <w:p>
            <w:r>
              <w:rPr>
                <w:rFonts w:ascii="Times New Roman" w:hAnsi="Times New Roman" w:eastAsia="宋体"/>
                <w:sz w:val="17"/>
              </w:rPr>
              <w:t>拒绝并提示，或进入候补（REQ-B4-001）</w:t>
            </w:r>
          </w:p>
        </w:tc>
      </w:tr>
      <w:tr>
        <w:tc>
          <w:tcPr>
            <w:tcW w:type="dxa" w:w="4986"/>
          </w:tcPr>
          <w:p>
            <w:r>
              <w:rPr>
                <w:rFonts w:ascii="Times New Roman" w:hAnsi="Times New Roman" w:eastAsia="宋体"/>
                <w:sz w:val="17"/>
              </w:rPr>
              <w:t>未签到</w:t>
            </w:r>
          </w:p>
        </w:tc>
        <w:tc>
          <w:tcPr>
            <w:tcW w:type="dxa" w:w="4986"/>
          </w:tcPr>
          <w:p>
            <w:r>
              <w:rPr>
                <w:rFonts w:ascii="Times New Roman" w:hAnsi="Times New Roman" w:eastAsia="宋体"/>
                <w:sz w:val="17"/>
              </w:rPr>
              <w:t>判爽约并累计（REQ-B4-003）</w:t>
            </w:r>
          </w:p>
        </w:tc>
      </w:tr>
      <w:tr>
        <w:tc>
          <w:tcPr>
            <w:tcW w:type="dxa" w:w="4986"/>
          </w:tcPr>
          <w:p>
            <w:r>
              <w:rPr>
                <w:rFonts w:ascii="Times New Roman" w:hAnsi="Times New Roman" w:eastAsia="宋体"/>
                <w:sz w:val="17"/>
              </w:rPr>
              <w:t>爽约超限</w:t>
            </w:r>
          </w:p>
        </w:tc>
        <w:tc>
          <w:tcPr>
            <w:tcW w:type="dxa" w:w="4986"/>
          </w:tcPr>
          <w:p>
            <w:r>
              <w:rPr>
                <w:rFonts w:ascii="Times New Roman" w:hAnsi="Times New Roman" w:eastAsia="宋体"/>
                <w:sz w:val="17"/>
              </w:rPr>
              <w:t>限制预约 7 天（REQ-B4-004）</w:t>
            </w:r>
          </w:p>
        </w:tc>
      </w:tr>
      <w:tr>
        <w:tc>
          <w:tcPr>
            <w:tcW w:type="dxa" w:w="4986"/>
          </w:tcPr>
          <w:p>
            <w:r>
              <w:rPr>
                <w:rFonts w:ascii="Times New Roman" w:hAnsi="Times New Roman" w:eastAsia="宋体"/>
                <w:sz w:val="17"/>
              </w:rPr>
              <w:t>预警任务超时未处理</w:t>
            </w:r>
          </w:p>
        </w:tc>
        <w:tc>
          <w:tcPr>
            <w:tcW w:type="dxa" w:w="4986"/>
          </w:tcPr>
          <w:p>
            <w:r>
              <w:rPr>
                <w:rFonts w:ascii="Times New Roman" w:hAnsi="Times New Roman" w:eastAsia="宋体"/>
                <w:sz w:val="17"/>
              </w:rPr>
              <w:t>升级提醒店长（REQ-B8-006）</w:t>
            </w:r>
          </w:p>
        </w:tc>
      </w:tr>
      <w:tr>
        <w:tc>
          <w:tcPr>
            <w:tcW w:type="dxa" w:w="4986"/>
          </w:tcPr>
          <w:p>
            <w:r>
              <w:rPr>
                <w:rFonts w:ascii="Times New Roman" w:hAnsi="Times New Roman" w:eastAsia="宋体"/>
                <w:sz w:val="17"/>
              </w:rPr>
              <w:t>投诉/受伤</w:t>
            </w:r>
          </w:p>
        </w:tc>
        <w:tc>
          <w:tcPr>
            <w:tcW w:type="dxa" w:w="4986"/>
          </w:tcPr>
          <w:p>
            <w:r>
              <w:rPr>
                <w:rFonts w:ascii="Times New Roman" w:hAnsi="Times New Roman" w:eastAsia="宋体"/>
                <w:sz w:val="17"/>
              </w:rPr>
              <w:t>生成工单跟踪至关闭（REQ-B8-007/008）</w:t>
            </w:r>
          </w:p>
        </w:tc>
      </w:tr>
      <w:tr>
        <w:tc>
          <w:tcPr>
            <w:tcW w:type="dxa" w:w="4986"/>
          </w:tcPr>
          <w:p>
            <w:r>
              <w:rPr>
                <w:rFonts w:ascii="Times New Roman" w:hAnsi="Times New Roman" w:eastAsia="宋体"/>
                <w:sz w:val="17"/>
              </w:rPr>
              <w:t>小程序不可用</w:t>
            </w:r>
          </w:p>
        </w:tc>
        <w:tc>
          <w:tcPr>
            <w:tcW w:type="dxa" w:w="4986"/>
          </w:tcPr>
          <w:p>
            <w:r>
              <w:rPr>
                <w:rFonts w:ascii="Times New Roman" w:hAnsi="Times New Roman" w:eastAsia="宋体"/>
                <w:sz w:val="17"/>
              </w:rPr>
              <w:t>前台代签/代约兜底（REQ-B4-005）</w:t>
            </w:r>
          </w:p>
        </w:tc>
      </w:tr>
      <w:tr>
        <w:tc>
          <w:tcPr>
            <w:tcW w:type="dxa" w:w="4986"/>
          </w:tcPr>
          <w:p>
            <w:r>
              <w:rPr>
                <w:rFonts w:ascii="Times New Roman" w:hAnsi="Times New Roman" w:eastAsia="宋体"/>
                <w:sz w:val="17"/>
              </w:rPr>
              <w:t>重复选课 / 重复退课</w:t>
            </w:r>
          </w:p>
        </w:tc>
        <w:tc>
          <w:tcPr>
            <w:tcW w:type="dxa" w:w="4986"/>
          </w:tcPr>
          <w:p>
            <w:r>
              <w:rPr>
                <w:rFonts w:ascii="Times New Roman" w:hAnsi="Times New Roman" w:eastAsia="宋体"/>
                <w:sz w:val="17"/>
              </w:rPr>
              <w:t>选课幂等返回同一预约号；退课校验状态，重复退课返回冲突（REQ-B4-006）</w:t>
            </w:r>
          </w:p>
        </w:tc>
      </w:tr>
      <w:tr>
        <w:tc>
          <w:tcPr>
            <w:tcW w:type="dxa" w:w="4986"/>
          </w:tcPr>
          <w:p>
            <w:r>
              <w:rPr>
                <w:rFonts w:ascii="Times New Roman" w:hAnsi="Times New Roman" w:eastAsia="宋体"/>
                <w:sz w:val="17"/>
              </w:rPr>
              <w:t>重复扫码核销</w:t>
            </w:r>
          </w:p>
        </w:tc>
        <w:tc>
          <w:tcPr>
            <w:tcW w:type="dxa" w:w="4986"/>
          </w:tcPr>
          <w:p>
            <w:r>
              <w:rPr>
                <w:rFonts w:ascii="Times New Roman" w:hAnsi="Times New Roman" w:eastAsia="宋体"/>
                <w:sz w:val="17"/>
              </w:rPr>
              <w:t>返回状态冲突，不重复核销（REQ-B4-007）</w:t>
            </w:r>
          </w:p>
        </w:tc>
      </w:tr>
      <w:tr>
        <w:tc>
          <w:tcPr>
            <w:tcW w:type="dxa" w:w="4986"/>
          </w:tcPr>
          <w:p>
            <w:r>
              <w:rPr>
                <w:rFonts w:ascii="Times New Roman" w:hAnsi="Times New Roman" w:eastAsia="宋体"/>
                <w:sz w:val="17"/>
              </w:rPr>
              <w:t>非本人课程的名单/核销请求</w:t>
            </w:r>
          </w:p>
        </w:tc>
        <w:tc>
          <w:tcPr>
            <w:tcW w:type="dxa" w:w="4986"/>
          </w:tcPr>
          <w:p>
            <w:r>
              <w:rPr>
                <w:rFonts w:ascii="Times New Roman" w:hAnsi="Times New Roman" w:eastAsia="宋体"/>
                <w:sz w:val="17"/>
              </w:rPr>
              <w:t>拒绝（403），只有任课教练与门店后台可操作（REQ-B3-006、REQ-B4-008）</w:t>
            </w:r>
          </w:p>
        </w:tc>
      </w:tr>
      <w:tr>
        <w:tc>
          <w:tcPr>
            <w:tcW w:type="dxa" w:w="4986"/>
          </w:tcPr>
          <w:p>
            <w:r>
              <w:rPr>
                <w:rFonts w:ascii="Times New Roman" w:hAnsi="Times New Roman" w:eastAsia="宋体"/>
                <w:sz w:val="17"/>
              </w:rPr>
              <w:t>场地时段被占用</w:t>
            </w:r>
          </w:p>
        </w:tc>
        <w:tc>
          <w:tcPr>
            <w:tcW w:type="dxa" w:w="4986"/>
          </w:tcPr>
          <w:p>
            <w:r>
              <w:rPr>
                <w:rFonts w:ascii="Times New Roman" w:hAnsi="Times New Roman" w:eastAsia="宋体"/>
                <w:sz w:val="17"/>
              </w:rPr>
              <w:t>拒绝预约并提示"同一场地时段不可重叠"（REQ-B6-004）</w:t>
            </w:r>
          </w:p>
        </w:tc>
      </w:tr>
      <w:tr>
        <w:tc>
          <w:tcPr>
            <w:tcW w:type="dxa" w:w="4986"/>
          </w:tcPr>
          <w:p>
            <w:r>
              <w:rPr>
                <w:rFonts w:ascii="Times New Roman" w:hAnsi="Times New Roman" w:eastAsia="宋体"/>
                <w:sz w:val="17"/>
              </w:rPr>
              <w:t>会籍过期会员预约私有场馆</w:t>
            </w:r>
          </w:p>
        </w:tc>
        <w:tc>
          <w:tcPr>
            <w:tcW w:type="dxa" w:w="4986"/>
          </w:tcPr>
          <w:p>
            <w:r>
              <w:rPr>
                <w:rFonts w:ascii="Times New Roman" w:hAnsi="Times New Roman" w:eastAsia="宋体"/>
                <w:sz w:val="17"/>
              </w:rPr>
              <w:t>拒绝并引导续费；公共区域不受限（REQ-B6-005）</w:t>
            </w:r>
          </w:p>
        </w:tc>
      </w:tr>
      <w:tr>
        <w:tc>
          <w:tcPr>
            <w:tcW w:type="dxa" w:w="4986"/>
          </w:tcPr>
          <w:p>
            <w:r>
              <w:rPr>
                <w:rFonts w:ascii="Times New Roman" w:hAnsi="Times New Roman" w:eastAsia="宋体"/>
                <w:sz w:val="17"/>
              </w:rPr>
              <w:t>场馆维护中</w:t>
            </w:r>
          </w:p>
        </w:tc>
        <w:tc>
          <w:tcPr>
            <w:tcW w:type="dxa" w:w="4986"/>
          </w:tcPr>
          <w:p>
            <w:r>
              <w:rPr>
                <w:rFonts w:ascii="Times New Roman" w:hAnsi="Times New Roman" w:eastAsia="宋体"/>
                <w:sz w:val="17"/>
              </w:rPr>
              <w:t>不可预约（REQ-B6-005）</w:t>
            </w:r>
          </w:p>
        </w:tc>
      </w:tr>
      <w:tr>
        <w:tc>
          <w:tcPr>
            <w:tcW w:type="dxa" w:w="4986"/>
          </w:tcPr>
          <w:p>
            <w:r>
              <w:rPr>
                <w:rFonts w:ascii="Times New Roman" w:hAnsi="Times New Roman" w:eastAsia="宋体"/>
                <w:sz w:val="17"/>
              </w:rPr>
              <w:t>身份与账号不符</w:t>
            </w:r>
          </w:p>
        </w:tc>
        <w:tc>
          <w:tcPr>
            <w:tcW w:type="dxa" w:w="4986"/>
          </w:tcPr>
          <w:p>
            <w:r>
              <w:rPr>
                <w:rFonts w:ascii="Times New Roman" w:hAnsi="Times New Roman" w:eastAsia="宋体"/>
                <w:sz w:val="17"/>
              </w:rPr>
              <w:t>登录页拒绝进入并提示重新选择身份（REQ-M0-004）</w:t>
            </w:r>
          </w:p>
        </w:tc>
      </w:tr>
    </w:tbl>
    <w:p>
      <w:pPr>
        <w:pStyle w:val="Heading1"/>
      </w:pPr>
      <w:r>
        <w:t>11. 切片实施与验收口径</w:t>
      </w:r>
    </w:p>
    <w:p>
      <w:pPr>
        <w:ind w:left="420"/>
      </w:pPr>
      <w:r>
        <w:t>• 每个切片完成后须通过：单元测试 → 接口测试 → 契约测试 → 集成测试 → 业务流程测试 → 异常测试 → 行为驱动验收测试。</w:t>
      </w:r>
    </w:p>
    <w:p>
      <w:pPr>
        <w:ind w:left="420"/>
      </w:pPr>
      <w:r>
        <w:t>• 验收以业务目标的可度量指标为准（流失率、爽约率、转化率、人工介入比例）。</w:t>
      </w:r>
    </w:p>
    <w:p>
      <w:pPr>
        <w:pStyle w:val="Heading1"/>
      </w:pPr>
      <w:r>
        <w:t>12. 与其他文档的关系</w:t>
      </w:r>
    </w:p>
    <w:p>
      <w:r>
        <w:t>本报告为第四阶段总纲；追溯关系见《业务—系统需求追溯矩阵》；模块功能见《系统功能结构说明》；权限、流程、状态、规则、报表、非功能与接口分别见同名文档；测试溯源见《关键规则—需求—测试溯源表》。</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Times New Roman" w:hAnsi="Times New Roman" w:eastAsia="宋体"/>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site73</dc:creator>
  <cp:keywords/>
  <dc:description>generated by python-docx</dc:description>
  <cp:lastModifiedBy>site73</cp:lastModifiedBy>
  <cp:revision>1</cp:revision>
  <dcterms:created xsi:type="dcterms:W3CDTF">2013-12-23T23:15:00Z</dcterms:created>
  <dcterms:modified xsi:type="dcterms:W3CDTF">2013-12-23T23:15:00Z</dcterms:modified>
  <cp:category/>
</cp:coreProperties>
</file>