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业务数据初始化与迁移方案</w:t>
      </w:r>
    </w:p>
    <w:p>
      <w:r>
        <w:t>&gt; 所属阶段：第七阶段（数据库、外部接口、业务数据初始化与部署方案设计）</w:t>
      </w:r>
    </w:p>
    <w:p>
      <w:r>
        <w:t>&gt; 说明：新系统上线前，不仅要建表和部署，更要解决"现实业务数据如何进入系统"。本方案在全局业务基线确认阶段即提前识别，现正式形成。</w:t>
      </w:r>
    </w:p>
    <w:p>
      <w:pPr>
        <w:pStyle w:val="Heading1"/>
      </w:pPr>
      <w:r>
        <w:t>一、前期识别清单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识别项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本店情况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处理方式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哪些基础数据必须准备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角色、字典（状态/类型）、课程目录、器材分类、规则参数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由种子脚本初始化（`db/seed/R__seed_base_data.sql`）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哪些历史业务数据必须迁移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有效会员档案、会籍起止与剩余次数、未结清订单、私教课包余次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迁移（见第（2）部分）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哪些数据只需归档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已过期会籍的历史记录、往年纸质考勤、已关闭投诉记录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归档留存，不迁入系统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哪些进行中业务对象需在切换日继续处理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切换日仍在有效期内的会籍、未核销完的私教课包、待处理投诉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建"切换日快照"清单，逐条导入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哪些旧状态需映射到新状态机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旧台账的口语化状态（正常/停卡/到期未续等）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见第（3）部分映射表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数据来源在哪里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会员 Excel 台账、收费 Excel、体测纸质表、微信群排课记录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逐一收集并确认版本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数据质量是否满足迁移要求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手机号缺失/重复、会籍起止日期不全、姓名不规范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迁移前做质量校验与补录清单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是否涉及敏感信息/合规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手机号、健康体测数据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最小化采集、加密存储、脱敏展示、授权明确</w:t>
            </w:r>
          </w:p>
        </w:tc>
      </w:tr>
    </w:tbl>
    <w:p>
      <w:pPr>
        <w:pStyle w:val="Heading1"/>
      </w:pPr>
      <w:r>
        <w:t>二、方案内容</w:t>
      </w:r>
    </w:p>
    <w:p>
      <w:pPr>
        <w:pStyle w:val="Heading2"/>
      </w:pPr>
      <w:r>
        <w:t>（1）基础数据初始化范围</w:t>
      </w:r>
    </w:p>
    <w:p>
      <w:pPr>
        <w:ind w:left="420"/>
      </w:pPr>
      <w:r>
        <w:t>• **组织与账号**：门店信息、系统用户（店长/会籍/私教/财务/管理员）与角色权限。</w:t>
      </w:r>
    </w:p>
    <w:p>
      <w:pPr>
        <w:ind w:left="420"/>
      </w:pPr>
      <w:r>
        <w:t>• **字典**：会员状态、预约状态、课程状态、订单状态、工单状态、课程目录、器材分类。</w:t>
      </w:r>
    </w:p>
    <w:p>
      <w:pPr>
        <w:ind w:left="420"/>
      </w:pPr>
      <w:r>
        <w:t>• **业务规则参数**：SYS-R1–R10 默认值（N=3、D=7、T=0.6、时间窗 30 天/4 周、提成比例 20%）。</w:t>
      </w:r>
    </w:p>
    <w:p>
      <w:pPr>
        <w:ind w:left="420"/>
      </w:pPr>
      <w:r>
        <w:t>• **课程目录**：团课/私教课名与默认时长、容量。</w:t>
      </w:r>
    </w:p>
    <w:p>
      <w:pPr>
        <w:ind w:left="420"/>
      </w:pPr>
      <w:r>
        <w:t>• **器材台账**：资产编号、名称、分类、位置。</w:t>
      </w:r>
    </w:p>
    <w:p>
      <w:pPr>
        <w:ind w:left="420"/>
      </w:pPr>
      <w:r>
        <w:t>• **交付方式**：`R__seed_base_data.sql`（幂等，可重复执行），上线前由店长确认参数。</w:t>
      </w:r>
    </w:p>
    <w:p>
      <w:pPr>
        <w:pStyle w:val="Heading2"/>
      </w:pPr>
      <w:r>
        <w:t>（2）历史业务数据迁移范围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数据类别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是否迁移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关键字段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有效会员档案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迁移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姓名、手机号、性别、生日、来源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会员 Excel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会籍合同（有效/冻结）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迁移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类型、起止日期、状态、剩余次数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会籍 Excel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私教课包余次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迁移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会员、剩余次数、有效期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私教销售记录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未结清订单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迁移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金额、状态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收费台账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历史订单/支付记录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**归档**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收费台账（只归档不迁入）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历史体测纸质表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选择性迁移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最近 1 次体测数据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纸质体测表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历年考勤/签到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归档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微信群记录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已关闭投诉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归档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纸质/口头记录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对象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旧台账取值（示例）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新系统状态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会员/会籍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正常 / 在用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`active`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会员/会籍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停卡 / 请假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`frozen`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会员/会籍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到期未续 / 作废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`expired`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会员/会籍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已退卡 / 不再来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`lost`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私教课包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还剩 N 次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`remaining_times = N`（无旧状态，直接迁移余次）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订单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已收款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`paid`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订单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未收款 / 挂账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`pending`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>
      <w:pPr>
        <w:pStyle w:val="Heading2"/>
      </w:pPr>
      <w:r>
        <w:t>（3）存量对象状态映射</w:t>
      </w:r>
    </w:p>
    <w:p>
      <w:r>
        <w:t>映射规则须在迁移演练中抽检确认，</w:t>
      </w:r>
      <w:r>
        <w:rPr>
          <w:b/>
        </w:rPr>
        <w:t>不允许出现无法映射的取值</w:t>
      </w:r>
      <w:r>
        <w:t>；否则先补录再迁移。</w:t>
      </w:r>
    </w:p>
    <w:p>
      <w:pPr>
        <w:pStyle w:val="Heading2"/>
      </w:pPr>
      <w:r>
        <w:t>（4）数据迁移与切换方式</w:t>
      </w:r>
    </w:p>
    <w:p>
      <w:pPr>
        <w:ind w:left="420"/>
      </w:pPr>
      <w:r>
        <w:t>• **迁移方式**：首轮为**全量迁移**（数据量小，单店 ≤3000 会员）；切换后如有增量（切换日当天的办卡/签到），采用**增量补录**方式补齐。</w:t>
      </w:r>
    </w:p>
    <w:p>
      <w:pPr>
        <w:ind w:left="420"/>
      </w:pPr>
      <w:r>
        <w:t>• **切换日安排**：</w:t>
      </w:r>
    </w:p>
    <w:p>
      <w:r>
        <w:t>1. T-7 完成数据收集与质量校验，输出补录清单；</w:t>
      </w:r>
    </w:p>
    <w:p>
      <w:r>
        <w:t>2. T-3 预演迁移（在试点环境执行全流程 + 核对）；</w:t>
      </w:r>
    </w:p>
    <w:p>
      <w:r>
        <w:t>3. T-1 冻结旧台账写入，导出最终快照；</w:t>
      </w:r>
    </w:p>
    <w:p>
      <w:r>
        <w:t>4. T 日：停止旧方式登记 → 执行全量迁移 → 核对 → 开放系统使用；切换日现场安排 1 人值守答疑。</w:t>
      </w:r>
    </w:p>
    <w:p>
      <w:r>
        <w:t>5. T+3 观察期，处理遗漏与差异。</w:t>
      </w:r>
    </w:p>
    <w:p>
      <w:pPr>
        <w:ind w:left="420"/>
      </w:pPr>
      <w:r>
        <w:t>• **迁移演练**：至少一次完整预演，记录耗时、失败条目与修正动作。</w:t>
      </w:r>
    </w:p>
    <w:p>
      <w:pPr>
        <w:ind w:left="420"/>
      </w:pPr>
      <w:r>
        <w:t>• **核对方式**：按类别核对总量与抽样明细——会员数、有效会籍数、课包余次合计、未结清订单金额；抽样 ≥10% 逐条比对；核对表由店长签字。</w:t>
      </w:r>
    </w:p>
    <w:p>
      <w:pPr>
        <w:ind w:left="420"/>
      </w:pPr>
      <w:r>
        <w:t>• **回滚预案**：</w:t>
      </w:r>
    </w:p>
    <w:p>
      <w:pPr>
        <w:ind w:left="420"/>
      </w:pPr>
      <w:r>
        <w:t>• 迁移失败或核对不通过 → **保留旧台账继续使用**，系统暂不切换（新系统仅做只读演示）；</w:t>
      </w:r>
    </w:p>
    <w:p>
      <w:pPr>
        <w:ind w:left="420"/>
      </w:pPr>
      <w:r>
        <w:t>• 已切换但发现严重问题时 → 停止对外使用新系统，回滚数据库到迁移前备份（见《部署方案设计》备份策略），并恢复旧登记方式；</w:t>
      </w:r>
    </w:p>
    <w:p>
      <w:pPr>
        <w:ind w:left="420"/>
      </w:pPr>
      <w:r>
        <w:t>• 回滚决策点：切换后 48 小时内，若核心数据（会籍/课包）错误率 &gt; 1%，即触发回滚评估。</w:t>
      </w:r>
    </w:p>
    <w:p>
      <w:pPr>
        <w:pStyle w:val="Heading1"/>
      </w:pPr>
      <w:r>
        <w:t>三、合规与安全</w:t>
      </w:r>
    </w:p>
    <w:p>
      <w:pPr>
        <w:ind w:left="420"/>
      </w:pPr>
      <w:r>
        <w:t>• 手机号等个人信息**加密存储、脱敏展示**；体测健康数据仅授权角色可见。</w:t>
      </w:r>
    </w:p>
    <w:p>
      <w:pPr>
        <w:ind w:left="420"/>
      </w:pPr>
      <w:r>
        <w:t>• 迁移过程使用加密传输与临时中间库；迁移完成后**清理中间文件**。</w:t>
      </w:r>
    </w:p>
    <w:p>
      <w:pPr>
        <w:ind w:left="420"/>
      </w:pPr>
      <w:r>
        <w:t>• 迁移人员签署保密承诺；迁移日志留痕（谁、何时、迁移了哪些批次）。</w:t>
      </w:r>
    </w:p>
    <w:p>
      <w:pPr>
        <w:pStyle w:val="Heading1"/>
      </w:pPr>
      <w:r>
        <w:t>四、交付物与责任人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交付物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责任人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时间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数据收集与补录清单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会籍顾问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T-7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迁移脚本与核对表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技术负责人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T-3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迁移演练报告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技术负责人 + 店长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T-3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切换日快照与核对签字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店长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T 日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回滚预案确认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店长 + 技术负责人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T-1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