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ai-data-governance-policy"/>
    <w:p>
      <w:pPr>
        <w:pStyle w:val="Heading1"/>
      </w:pPr>
      <w:r>
        <w:t xml:space="preserve">AI Data Governance Policy</w:t>
      </w:r>
    </w:p>
    <w:p>
      <w:pPr>
        <w:pStyle w:val="FirstParagraph"/>
      </w:pPr>
      <w:r>
        <w:rPr>
          <w:b/>
          <w:bCs/>
        </w:rPr>
        <w:t xml:space="preserve">Document owner:</w:t>
      </w:r>
      <w:r>
        <w:t xml:space="preserve"> </w:t>
      </w:r>
      <w:r>
        <w:t xml:space="preserve">[Data Governance Lead / CTO]</w:t>
      </w:r>
      <w:r>
        <w:t xml:space="preserve"> </w:t>
      </w:r>
      <w:r>
        <w:rPr>
          <w:b/>
          <w:bCs/>
        </w:rPr>
        <w:t xml:space="preserve">Version:</w:t>
      </w:r>
      <w:r>
        <w:t xml:space="preserve"> </w:t>
      </w:r>
      <w:r>
        <w:t xml:space="preserve">1.0</w:t>
      </w:r>
      <w:r>
        <w:t xml:space="preserve"> </w:t>
      </w:r>
      <w:r>
        <w:rPr>
          <w:b/>
          <w:bCs/>
        </w:rPr>
        <w:t xml:space="preserve">Effective date:</w:t>
      </w:r>
      <w:r>
        <w:t xml:space="preserve"> </w:t>
      </w:r>
      <w:r>
        <w:t xml:space="preserve">[DATE]</w:t>
      </w:r>
      <w:r>
        <w:t xml:space="preserve"> </w:t>
      </w:r>
      <w:r>
        <w:rPr>
          <w:b/>
          <w:bCs/>
        </w:rPr>
        <w:t xml:space="preserve">Next review:</w:t>
      </w:r>
      <w:r>
        <w:t xml:space="preserve"> </w:t>
      </w:r>
      <w:r>
        <w:t xml:space="preserve">[DATE + 6 months]</w:t>
      </w:r>
      <w:r>
        <w:t xml:space="preserve"> </w:t>
      </w:r>
      <w:r>
        <w:rPr>
          <w:b/>
          <w:bCs/>
        </w:rPr>
        <w:t xml:space="preserve">Classification:</w:t>
      </w:r>
      <w:r>
        <w:t xml:space="preserve"> </w:t>
      </w:r>
      <w:r>
        <w:t xml:space="preserve">Internal Policy</w:t>
      </w:r>
    </w:p>
    <w:p>
      <w:pPr>
        <w:pStyle w:val="BodyText"/>
      </w:pPr>
      <w:r>
        <w:rPr>
          <w:i/>
          <w:iCs/>
        </w:rPr>
        <w:t xml:space="preserve">This policy template is designed to be adopted by growth-stage companies (typically Series A-B) that use AI systems to process company or customer data. Italicized guidance notes throughout indicate where customization is required or common variations exist.</w:t>
      </w:r>
    </w:p>
    <w:p>
      <w:r>
        <w:pict>
          <v:rect style="width:0;height:1.5pt" o:hralign="center" o:hrstd="t" o:hr="t"/>
        </w:pict>
      </w:r>
    </w:p>
    <w:bookmarkStart w:id="12" w:name="purpose-scope"/>
    <w:p>
      <w:pPr>
        <w:pStyle w:val="Heading2"/>
      </w:pPr>
      <w:r>
        <w:t xml:space="preserve">1. Purpose &amp; Scope</w:t>
      </w:r>
    </w:p>
    <w:bookmarkStart w:id="9" w:name="purpose"/>
    <w:p>
      <w:pPr>
        <w:pStyle w:val="Heading3"/>
      </w:pPr>
      <w:r>
        <w:t xml:space="preserve">1.1 Purpose</w:t>
      </w:r>
    </w:p>
    <w:p>
      <w:pPr>
        <w:pStyle w:val="FirstParagraph"/>
      </w:pPr>
      <w:r>
        <w:t xml:space="preserve">Artificial intelligence systems process data in ways that differ meaningfully from traditional software. Data sent to a foundation model may be logged by the provider, used to improve future models, retained across sessions, or exposed through model memorization. Data used to fine-tune a model becomes embedded in that model’s weights in ways that cannot be surgically removed. Enterprise customers, regulators, and the public increasingly expect companies to govern this data flow deliberately.</w:t>
      </w:r>
    </w:p>
    <w:p>
      <w:pPr>
        <w:pStyle w:val="BodyText"/>
      </w:pPr>
      <w:r>
        <w:t xml:space="preserve">This policy establishes how [COMPANY NAME] governs data used with, produced by, or influencing AI systems. It exists to:</w:t>
      </w:r>
    </w:p>
    <w:p>
      <w:pPr>
        <w:pStyle w:val="Compact"/>
        <w:numPr>
          <w:ilvl w:val="0"/>
          <w:numId w:val="1001"/>
        </w:numPr>
      </w:pPr>
      <w:r>
        <w:t xml:space="preserve">Protect customer, employee, and company data from unauthorized exposure through AI systems</w:t>
      </w:r>
    </w:p>
    <w:p>
      <w:pPr>
        <w:pStyle w:val="Compact"/>
        <w:numPr>
          <w:ilvl w:val="0"/>
          <w:numId w:val="1001"/>
        </w:numPr>
      </w:pPr>
      <w:r>
        <w:t xml:space="preserve">Enable [COMPANY NAME] to answer enterprise buyer questions about AI data handling with documented, defensible practices</w:t>
      </w:r>
    </w:p>
    <w:p>
      <w:pPr>
        <w:pStyle w:val="Compact"/>
        <w:numPr>
          <w:ilvl w:val="0"/>
          <w:numId w:val="1001"/>
        </w:numPr>
      </w:pPr>
      <w:r>
        <w:t xml:space="preserve">Meet legal obligations under applicable data protection laws (including GDPR, CCPA, and sector-specific regulations)</w:t>
      </w:r>
    </w:p>
    <w:p>
      <w:pPr>
        <w:pStyle w:val="Compact"/>
        <w:numPr>
          <w:ilvl w:val="0"/>
          <w:numId w:val="1001"/>
        </w:numPr>
      </w:pPr>
      <w:r>
        <w:t xml:space="preserve">Align AI data practices with recognized frameworks including NIST AI Risk Management Framework (AI RMF) 1.0, ISO/IEC 42001:2023, and the EU AI Act</w:t>
      </w:r>
    </w:p>
    <w:p>
      <w:pPr>
        <w:pStyle w:val="Compact"/>
        <w:numPr>
          <w:ilvl w:val="0"/>
          <w:numId w:val="1001"/>
        </w:numPr>
      </w:pPr>
      <w:r>
        <w:t xml:space="preserve">Prevent the accumulation of unmanaged AI data risk as [COMPANY NAME] grows</w:t>
      </w:r>
    </w:p>
    <w:bookmarkEnd w:id="9"/>
    <w:bookmarkStart w:id="10" w:name="scope"/>
    <w:p>
      <w:pPr>
        <w:pStyle w:val="Heading3"/>
      </w:pPr>
      <w:r>
        <w:t xml:space="preserve">1.2 Scope</w:t>
      </w:r>
    </w:p>
    <w:p>
      <w:pPr>
        <w:pStyle w:val="FirstParagraph"/>
      </w:pPr>
      <w:r>
        <w:t xml:space="preserve">This policy applies to:</w:t>
      </w:r>
    </w:p>
    <w:p>
      <w:pPr>
        <w:pStyle w:val="Compact"/>
        <w:numPr>
          <w:ilvl w:val="0"/>
          <w:numId w:val="1002"/>
        </w:numPr>
      </w:pPr>
      <w:r>
        <w:t xml:space="preserve">All AI systems used by [COMPANY NAME], whether developed internally, obtained through third-party vendors, or accessed via API</w:t>
      </w:r>
    </w:p>
    <w:p>
      <w:pPr>
        <w:pStyle w:val="Compact"/>
        <w:numPr>
          <w:ilvl w:val="0"/>
          <w:numId w:val="1002"/>
        </w:numPr>
      </w:pPr>
      <w:r>
        <w:t xml:space="preserve">All data processed by AI systems, including inputs (prompts, training data, reference data) and outputs (completions, predictions, generated content)</w:t>
      </w:r>
    </w:p>
    <w:p>
      <w:pPr>
        <w:pStyle w:val="Compact"/>
        <w:numPr>
          <w:ilvl w:val="0"/>
          <w:numId w:val="1002"/>
        </w:numPr>
      </w:pPr>
      <w:r>
        <w:t xml:space="preserve">All employees, contractors, and third parties with access to [COMPANY NAME] systems or data</w:t>
      </w:r>
    </w:p>
    <w:p>
      <w:pPr>
        <w:pStyle w:val="Compact"/>
        <w:numPr>
          <w:ilvl w:val="0"/>
          <w:numId w:val="1002"/>
        </w:numPr>
      </w:pPr>
      <w:r>
        <w:t xml:space="preserve">All AI use cases including product features, internal productivity tools, engineering workflows, and business operations</w:t>
      </w:r>
    </w:p>
    <w:p>
      <w:pPr>
        <w:pStyle w:val="FirstParagraph"/>
      </w:pPr>
      <w:r>
        <w:rPr>
          <w:b/>
          <w:bCs/>
        </w:rPr>
        <w:t xml:space="preserve">Governance intensity varies by use case.</w:t>
      </w:r>
      <w:r>
        <w:t xml:space="preserve"> </w:t>
      </w:r>
      <w:r>
        <w:t xml:space="preserve">Full policy requirements (approval workflows, vendor assessment, documentation) apply to AI systems that:</w:t>
      </w:r>
      <w:r>
        <w:t xml:space="preserve"> </w:t>
      </w:r>
      <w:r>
        <w:t xml:space="preserve">- Are embedded in [COMPANY NAME] products or customer-facing features</w:t>
      </w:r>
      <w:r>
        <w:t xml:space="preserve"> </w:t>
      </w:r>
      <w:r>
        <w:t xml:space="preserve">- Process Tier 2 or higher data (see Section 4)</w:t>
      </w:r>
      <w:r>
        <w:t xml:space="preserve"> </w:t>
      </w:r>
      <w:r>
        <w:t xml:space="preserve">- Make or materially influence decisions affecting individuals</w:t>
      </w:r>
    </w:p>
    <w:p>
      <w:pPr>
        <w:pStyle w:val="BodyText"/>
      </w:pPr>
      <w:r>
        <w:t xml:space="preserve">Baseline requirements only (approved provider use, no sensitive data, incident reporting) apply to AI systems that:</w:t>
      </w:r>
      <w:r>
        <w:t xml:space="preserve"> </w:t>
      </w:r>
      <w:r>
        <w:t xml:space="preserve">- Are used solely for individual productivity (e.g., writing assistance for internal communications)</w:t>
      </w:r>
      <w:r>
        <w:t xml:space="preserve"> </w:t>
      </w:r>
      <w:r>
        <w:t xml:space="preserve">- Process only Tier 1 (Public) data</w:t>
      </w:r>
      <w:r>
        <w:t xml:space="preserve"> </w:t>
      </w:r>
      <w:r>
        <w:t xml:space="preserve">- Do not touch customer, employee, or company-confidential information</w:t>
      </w:r>
    </w:p>
    <w:p>
      <w:pPr>
        <w:pStyle w:val="BodyText"/>
      </w:pPr>
      <w:r>
        <w:rPr>
          <w:i/>
          <w:iCs/>
        </w:rPr>
        <w:t xml:space="preserve">Guidance: This distinction prevents governance overhead from becoming a barrier to legitimate AI productivity use. Individual employees using approved AI tools to summarize public articles or draft internal Slack messages should not need to file exception requests. Governance intensity should scale with actual risk.</w:t>
      </w:r>
    </w:p>
    <w:bookmarkEnd w:id="10"/>
    <w:bookmarkStart w:id="11" w:name="out-of-scope"/>
    <w:p>
      <w:pPr>
        <w:pStyle w:val="Heading3"/>
      </w:pPr>
      <w:r>
        <w:t xml:space="preserve">1.3 Out of Scope</w:t>
      </w:r>
    </w:p>
    <w:p>
      <w:pPr>
        <w:pStyle w:val="FirstParagraph"/>
      </w:pPr>
      <w:r>
        <w:t xml:space="preserve">This policy does not cover:</w:t>
      </w:r>
    </w:p>
    <w:p>
      <w:pPr>
        <w:pStyle w:val="Compact"/>
        <w:numPr>
          <w:ilvl w:val="0"/>
          <w:numId w:val="1003"/>
        </w:numPr>
      </w:pPr>
      <w:r>
        <w:t xml:space="preserve">Personal AI use by employees on personal devices with personal accounts, unrelated to [COMPANY NAME] work</w:t>
      </w:r>
    </w:p>
    <w:p>
      <w:pPr>
        <w:pStyle w:val="Compact"/>
        <w:numPr>
          <w:ilvl w:val="0"/>
          <w:numId w:val="1003"/>
        </w:numPr>
      </w:pPr>
      <w:r>
        <w:t xml:space="preserve">General information security controls (see [COMPANY NAME]’s Information Security Policy)</w:t>
      </w:r>
    </w:p>
    <w:p>
      <w:pPr>
        <w:pStyle w:val="Compact"/>
        <w:numPr>
          <w:ilvl w:val="0"/>
          <w:numId w:val="1003"/>
        </w:numPr>
      </w:pPr>
      <w:r>
        <w:t xml:space="preserve">Broader data privacy program requirements (see [COMPANY NAME]’s Privacy Policy)</w:t>
      </w:r>
    </w:p>
    <w:p>
      <w:pPr>
        <w:pStyle w:val="FirstParagraph"/>
      </w:pPr>
      <w:r>
        <w:rPr>
          <w:i/>
          <w:iCs/>
        </w:rPr>
        <w:t xml:space="preserve">Guidance: If [COMPANY NAME] does not yet have a Privacy Policy or Information Security Policy, note that gap and prioritize creating them. This AI Data Governance Policy assumes those foundations exist.</w:t>
      </w:r>
    </w:p>
    <w:p>
      <w:r>
        <w:pict>
          <v:rect style="width:0;height:1.5pt" o:hralign="center" o:hrstd="t" o:hr="t"/>
        </w:pict>
      </w:r>
    </w:p>
    <w:bookmarkEnd w:id="11"/>
    <w:bookmarkEnd w:id="12"/>
    <w:bookmarkStart w:id="13" w:name="definitions"/>
    <w:p>
      <w:pPr>
        <w:pStyle w:val="Heading2"/>
      </w:pPr>
      <w:r>
        <w:t xml:space="preserve">2. Definitions</w:t>
      </w:r>
    </w:p>
    <w:p>
      <w:pPr>
        <w:pStyle w:val="Compact"/>
        <w:numPr>
          <w:ilvl w:val="0"/>
          <w:numId w:val="1004"/>
        </w:numPr>
      </w:pPr>
      <w:r>
        <w:rPr>
          <w:b/>
          <w:bCs/>
        </w:rPr>
        <w:t xml:space="preserve">AI System:</w:t>
      </w:r>
      <w:r>
        <w:t xml:space="preserve"> </w:t>
      </w:r>
      <w:r>
        <w:t xml:space="preserve">Any software system that uses machine learning, generative AI, or other AI techniques to produce outputs based on data inputs. Includes both internally developed models and third-party services accessed via API.</w:t>
      </w:r>
    </w:p>
    <w:p>
      <w:pPr>
        <w:pStyle w:val="Compact"/>
        <w:numPr>
          <w:ilvl w:val="0"/>
          <w:numId w:val="1004"/>
        </w:numPr>
      </w:pPr>
      <w:r>
        <w:rPr>
          <w:b/>
          <w:bCs/>
        </w:rPr>
        <w:t xml:space="preserve">Foundation Model:</w:t>
      </w:r>
      <w:r>
        <w:t xml:space="preserve"> </w:t>
      </w:r>
      <w:r>
        <w:t xml:space="preserve">A large-scale AI model trained on broad data that can be adapted to many downstream tasks (e.g., GPT-4, Claude, Gemini, Llama).</w:t>
      </w:r>
    </w:p>
    <w:p>
      <w:pPr>
        <w:pStyle w:val="Compact"/>
        <w:numPr>
          <w:ilvl w:val="0"/>
          <w:numId w:val="1004"/>
        </w:numPr>
      </w:pPr>
      <w:r>
        <w:rPr>
          <w:b/>
          <w:bCs/>
        </w:rPr>
        <w:t xml:space="preserve">Fine-tuning:</w:t>
      </w:r>
      <w:r>
        <w:t xml:space="preserve"> </w:t>
      </w:r>
      <w:r>
        <w:t xml:space="preserve">The process of further training a foundation model on specific data to specialize its behavior.</w:t>
      </w:r>
    </w:p>
    <w:p>
      <w:pPr>
        <w:pStyle w:val="Compact"/>
        <w:numPr>
          <w:ilvl w:val="0"/>
          <w:numId w:val="1004"/>
        </w:numPr>
      </w:pPr>
      <w:r>
        <w:rPr>
          <w:b/>
          <w:bCs/>
        </w:rPr>
        <w:t xml:space="preserve">Inference:</w:t>
      </w:r>
      <w:r>
        <w:t xml:space="preserve"> </w:t>
      </w:r>
      <w:r>
        <w:t xml:space="preserve">The process of using a trained model to generate outputs from inputs, typically in production.</w:t>
      </w:r>
    </w:p>
    <w:p>
      <w:pPr>
        <w:pStyle w:val="Compact"/>
        <w:numPr>
          <w:ilvl w:val="0"/>
          <w:numId w:val="1004"/>
        </w:numPr>
      </w:pPr>
      <w:r>
        <w:rPr>
          <w:b/>
          <w:bCs/>
        </w:rPr>
        <w:t xml:space="preserve">Training Data:</w:t>
      </w:r>
      <w:r>
        <w:t xml:space="preserve"> </w:t>
      </w:r>
      <w:r>
        <w:t xml:space="preserve">Data used to train, fine-tune, or evaluate an AI model.</w:t>
      </w:r>
    </w:p>
    <w:p>
      <w:pPr>
        <w:pStyle w:val="Compact"/>
        <w:numPr>
          <w:ilvl w:val="0"/>
          <w:numId w:val="1004"/>
        </w:numPr>
      </w:pPr>
      <w:r>
        <w:rPr>
          <w:b/>
          <w:bCs/>
        </w:rPr>
        <w:t xml:space="preserve">Prompt:</w:t>
      </w:r>
      <w:r>
        <w:t xml:space="preserve"> </w:t>
      </w:r>
      <w:r>
        <w:t xml:space="preserve">Input provided to an AI system, typically in natural language.</w:t>
      </w:r>
    </w:p>
    <w:p>
      <w:pPr>
        <w:pStyle w:val="Compact"/>
        <w:numPr>
          <w:ilvl w:val="0"/>
          <w:numId w:val="1004"/>
        </w:numPr>
      </w:pPr>
      <w:r>
        <w:rPr>
          <w:b/>
          <w:bCs/>
        </w:rPr>
        <w:t xml:space="preserve">Completion / Output:</w:t>
      </w:r>
      <w:r>
        <w:t xml:space="preserve"> </w:t>
      </w:r>
      <w:r>
        <w:t xml:space="preserve">Content generated by an AI system in response to input.</w:t>
      </w:r>
    </w:p>
    <w:p>
      <w:pPr>
        <w:pStyle w:val="Compact"/>
        <w:numPr>
          <w:ilvl w:val="0"/>
          <w:numId w:val="1004"/>
        </w:numPr>
      </w:pPr>
      <w:r>
        <w:rPr>
          <w:b/>
          <w:bCs/>
        </w:rPr>
        <w:t xml:space="preserve">Personal Data:</w:t>
      </w:r>
      <w:r>
        <w:t xml:space="preserve"> </w:t>
      </w:r>
      <w:r>
        <w:t xml:space="preserve">Any information relating to an identified or identifiable natural person, as defined by GDPR Article 4(1) and equivalent laws.</w:t>
      </w:r>
    </w:p>
    <w:p>
      <w:pPr>
        <w:pStyle w:val="Compact"/>
        <w:numPr>
          <w:ilvl w:val="0"/>
          <w:numId w:val="1004"/>
        </w:numPr>
      </w:pPr>
      <w:r>
        <w:rPr>
          <w:b/>
          <w:bCs/>
        </w:rPr>
        <w:t xml:space="preserve">Sensitive Data:</w:t>
      </w:r>
      <w:r>
        <w:t xml:space="preserve"> </w:t>
      </w:r>
      <w:r>
        <w:t xml:space="preserve">A subset of personal data receiving heightened protection under applicable law (e.g., health, financial, biometric, or credential information).</w:t>
      </w:r>
    </w:p>
    <w:p>
      <w:pPr>
        <w:pStyle w:val="Compact"/>
        <w:numPr>
          <w:ilvl w:val="0"/>
          <w:numId w:val="1004"/>
        </w:numPr>
      </w:pPr>
      <w:r>
        <w:rPr>
          <w:b/>
          <w:bCs/>
        </w:rPr>
        <w:t xml:space="preserve">Data Subject:</w:t>
      </w:r>
      <w:r>
        <w:t xml:space="preserve"> </w:t>
      </w:r>
      <w:r>
        <w:t xml:space="preserve">The individual to whom personal data relates.</w:t>
      </w:r>
    </w:p>
    <w:p>
      <w:pPr>
        <w:pStyle w:val="Compact"/>
        <w:numPr>
          <w:ilvl w:val="0"/>
          <w:numId w:val="1004"/>
        </w:numPr>
      </w:pPr>
      <w:r>
        <w:rPr>
          <w:b/>
          <w:bCs/>
        </w:rPr>
        <w:t xml:space="preserve">Data Controller / Data Processor:</w:t>
      </w:r>
      <w:r>
        <w:t xml:space="preserve"> </w:t>
      </w:r>
      <w:r>
        <w:t xml:space="preserve">Roles defined by GDPR Article 4 that determine who decides how data is processed (controller) and who processes it on the controller’s behalf (processor). Practically: when [COMPANY NAME] uses OpenAI to process customer data, [COMPANY NAME] is the controller (deciding what to do with the data) and OpenAI is the processor (executing the processing on [COMPANY NAME]’s behalf). The distinction affects contract terms, breach responsibilities, and regulatory exposure.</w:t>
      </w:r>
    </w:p>
    <w:p>
      <w:pPr>
        <w:pStyle w:val="Compact"/>
        <w:numPr>
          <w:ilvl w:val="0"/>
          <w:numId w:val="1004"/>
        </w:numPr>
      </w:pPr>
      <w:r>
        <w:rPr>
          <w:b/>
          <w:bCs/>
        </w:rPr>
        <w:t xml:space="preserve">Model Provider:</w:t>
      </w:r>
      <w:r>
        <w:t xml:space="preserve"> </w:t>
      </w:r>
      <w:r>
        <w:t xml:space="preserve">A third party offering AI models or AI-powered services (e.g., OpenAI, Anthropic, Google, AWS).</w:t>
      </w:r>
    </w:p>
    <w:p>
      <w:pPr>
        <w:pStyle w:val="Compact"/>
        <w:numPr>
          <w:ilvl w:val="0"/>
          <w:numId w:val="1004"/>
        </w:numPr>
      </w:pPr>
      <w:r>
        <w:rPr>
          <w:b/>
          <w:bCs/>
        </w:rPr>
        <w:t xml:space="preserve">Data Lineage:</w:t>
      </w:r>
      <w:r>
        <w:t xml:space="preserve"> </w:t>
      </w:r>
      <w:r>
        <w:t xml:space="preserve">Documented history of where a piece of data originated, how it moved through systems, and how it was transformed.</w:t>
      </w:r>
    </w:p>
    <w:p>
      <w:pPr>
        <w:pStyle w:val="Compact"/>
        <w:numPr>
          <w:ilvl w:val="0"/>
          <w:numId w:val="1004"/>
        </w:numPr>
      </w:pPr>
      <w:r>
        <w:rPr>
          <w:b/>
          <w:bCs/>
        </w:rPr>
        <w:t xml:space="preserve">Shadow AI:</w:t>
      </w:r>
      <w:r>
        <w:t xml:space="preserve"> </w:t>
      </w:r>
      <w:r>
        <w:t xml:space="preserve">Use of AI systems without formal approval, tracking, or documentation.</w:t>
      </w:r>
    </w:p>
    <w:p>
      <w:pPr>
        <w:pStyle w:val="Compact"/>
        <w:numPr>
          <w:ilvl w:val="0"/>
          <w:numId w:val="1004"/>
        </w:numPr>
      </w:pPr>
      <w:r>
        <w:rPr>
          <w:b/>
          <w:bCs/>
        </w:rPr>
        <w:t xml:space="preserve">AI Agent (Agentic AI System):</w:t>
      </w:r>
      <w:r>
        <w:t xml:space="preserve"> </w:t>
      </w:r>
      <w:r>
        <w:t xml:space="preserve">An AI system that acts autonomously across multiple steps to accomplish a goal, typically by invoking tools, making API calls, or triggering actions in other systems. Distinct from single-turn inference calls because agents accumulate state and take actions that affect other systems. Agentic systems require additional governance (see Section 5) due to their expanded action surface.</w:t>
      </w:r>
    </w:p>
    <w:p>
      <w:pPr>
        <w:pStyle w:val="Compact"/>
        <w:numPr>
          <w:ilvl w:val="0"/>
          <w:numId w:val="1004"/>
        </w:numPr>
      </w:pPr>
      <w:r>
        <w:rPr>
          <w:b/>
          <w:bCs/>
        </w:rPr>
        <w:t xml:space="preserve">Model Memorization:</w:t>
      </w:r>
      <w:r>
        <w:t xml:space="preserve"> </w:t>
      </w:r>
      <w:r>
        <w:t xml:space="preserve">The phenomenon whereby a model reproduces specific training data verbatim or near-verbatim in its outputs. Creates risk of exposing sensitive training data through inference.</w:t>
      </w:r>
    </w:p>
    <w:p>
      <w:r>
        <w:pict>
          <v:rect style="width:0;height:1.5pt" o:hralign="center" o:hrstd="t" o:hr="t"/>
        </w:pict>
      </w:r>
    </w:p>
    <w:bookmarkEnd w:id="13"/>
    <w:bookmarkStart w:id="20" w:name="roles-responsibilities"/>
    <w:p>
      <w:pPr>
        <w:pStyle w:val="Heading2"/>
      </w:pPr>
      <w:r>
        <w:t xml:space="preserve">3. Roles &amp; Responsibilities</w:t>
      </w:r>
    </w:p>
    <w:p>
      <w:pPr>
        <w:pStyle w:val="FirstParagraph"/>
      </w:pPr>
      <w:r>
        <w:rPr>
          <w:i/>
          <w:iCs/>
        </w:rPr>
        <w:t xml:space="preserve">Guidance: Adjust role names to match [COMPANY NAME]’s actual organizational structure. At Series A-B stage, one person often holds multiple roles. Consolidate where necessary but keep responsibilities distinct.</w:t>
      </w:r>
    </w:p>
    <w:bookmarkStart w:id="14" w:name="data-governance-lead"/>
    <w:p>
      <w:pPr>
        <w:pStyle w:val="Heading3"/>
      </w:pPr>
      <w:r>
        <w:t xml:space="preserve">3.1 Data Governance Lead</w:t>
      </w:r>
    </w:p>
    <w:p>
      <w:pPr>
        <w:pStyle w:val="FirstParagraph"/>
      </w:pPr>
      <w:r>
        <w:t xml:space="preserve">The Data Governance Lead has ultimate accountability for AI data governance at [COMPANY NAME].</w:t>
      </w:r>
    </w:p>
    <w:p>
      <w:pPr>
        <w:pStyle w:val="BodyText"/>
      </w:pPr>
      <w:r>
        <w:t xml:space="preserve">Responsibilities:</w:t>
      </w:r>
      <w:r>
        <w:t xml:space="preserve"> </w:t>
      </w:r>
      <w:r>
        <w:t xml:space="preserve">- Owns this policy and reviews it at least every six months</w:t>
      </w:r>
      <w:r>
        <w:t xml:space="preserve"> </w:t>
      </w:r>
      <w:r>
        <w:t xml:space="preserve">- Approves new AI systems and vendors that will process sensitive or regulated data</w:t>
      </w:r>
      <w:r>
        <w:t xml:space="preserve"> </w:t>
      </w:r>
      <w:r>
        <w:t xml:space="preserve">- Serves as the escalation point for data governance questions and disputes</w:t>
      </w:r>
      <w:r>
        <w:t xml:space="preserve"> </w:t>
      </w:r>
      <w:r>
        <w:t xml:space="preserve">- Reports on data governance program status to executive leadership quarterly</w:t>
      </w:r>
      <w:r>
        <w:t xml:space="preserve"> </w:t>
      </w:r>
      <w:r>
        <w:t xml:space="preserve">- Ensures adequate resourcing for data governance activities</w:t>
      </w:r>
    </w:p>
    <w:p>
      <w:pPr>
        <w:pStyle w:val="BodyText"/>
      </w:pPr>
      <w:r>
        <w:rPr>
          <w:i/>
          <w:iCs/>
        </w:rPr>
        <w:t xml:space="preserve">Guidance: This role is typically held by the CTO, VP of Engineering, or Head of Security at Series A-B companies. Larger organizations may create a dedicated role.</w:t>
      </w:r>
    </w:p>
    <w:bookmarkEnd w:id="14"/>
    <w:bookmarkStart w:id="15" w:name="ai-system-owners"/>
    <w:p>
      <w:pPr>
        <w:pStyle w:val="Heading3"/>
      </w:pPr>
      <w:r>
        <w:t xml:space="preserve">3.2 AI System Owners</w:t>
      </w:r>
    </w:p>
    <w:p>
      <w:pPr>
        <w:pStyle w:val="FirstParagraph"/>
      </w:pPr>
      <w:r>
        <w:t xml:space="preserve">Each AI system in use at [COMPANY NAME] has a designated System Owner (typically a product manager or engineering lead).</w:t>
      </w:r>
    </w:p>
    <w:p>
      <w:pPr>
        <w:pStyle w:val="BodyText"/>
      </w:pPr>
      <w:r>
        <w:t xml:space="preserve">Responsibilities:</w:t>
      </w:r>
      <w:r>
        <w:t xml:space="preserve"> </w:t>
      </w:r>
      <w:r>
        <w:t xml:space="preserve">- Maintains current documentation of the AI system in scope</w:t>
      </w:r>
      <w:r>
        <w:t xml:space="preserve"> </w:t>
      </w:r>
      <w:r>
        <w:t xml:space="preserve">- Ensures data flowing into the system complies with this policy</w:t>
      </w:r>
      <w:r>
        <w:t xml:space="preserve"> </w:t>
      </w:r>
      <w:r>
        <w:t xml:space="preserve">- Reports incidents and near-misses to the Data Governance Lead</w:t>
      </w:r>
      <w:r>
        <w:t xml:space="preserve"> </w:t>
      </w:r>
      <w:r>
        <w:t xml:space="preserve">- Participates in quarterly reviews of AI systems under their ownership</w:t>
      </w:r>
      <w:r>
        <w:t xml:space="preserve"> </w:t>
      </w:r>
      <w:r>
        <w:t xml:space="preserve">- Approves changes to how the AI system is used</w:t>
      </w:r>
    </w:p>
    <w:bookmarkEnd w:id="15"/>
    <w:bookmarkStart w:id="16" w:name="data-stewards"/>
    <w:p>
      <w:pPr>
        <w:pStyle w:val="Heading3"/>
      </w:pPr>
      <w:r>
        <w:t xml:space="preserve">3.3 Data Stewards</w:t>
      </w:r>
    </w:p>
    <w:p>
      <w:pPr>
        <w:pStyle w:val="FirstParagraph"/>
      </w:pPr>
      <w:r>
        <w:t xml:space="preserve">Data Stewards are subject matter experts for specific data categories (e.g., customer data, employee data, financial data, product data).</w:t>
      </w:r>
    </w:p>
    <w:p>
      <w:pPr>
        <w:pStyle w:val="BodyText"/>
      </w:pPr>
      <w:r>
        <w:t xml:space="preserve">Responsibilities:</w:t>
      </w:r>
      <w:r>
        <w:t xml:space="preserve"> </w:t>
      </w:r>
      <w:r>
        <w:t xml:space="preserve">- Approve AI use of data in their category</w:t>
      </w:r>
      <w:r>
        <w:t xml:space="preserve"> </w:t>
      </w:r>
      <w:r>
        <w:t xml:space="preserve">- Maintain classification and handling requirements for their data</w:t>
      </w:r>
      <w:r>
        <w:t xml:space="preserve"> </w:t>
      </w:r>
      <w:r>
        <w:t xml:space="preserve">- Escalate concerns about proposed AI use of their data</w:t>
      </w:r>
      <w:r>
        <w:t xml:space="preserve"> </w:t>
      </w:r>
      <w:r>
        <w:t xml:space="preserve">- Participate in data subject request responses affecting their data</w:t>
      </w:r>
    </w:p>
    <w:bookmarkEnd w:id="16"/>
    <w:bookmarkStart w:id="17" w:name="security-lead"/>
    <w:p>
      <w:pPr>
        <w:pStyle w:val="Heading3"/>
      </w:pPr>
      <w:r>
        <w:t xml:space="preserve">3.4 Security Lead</w:t>
      </w:r>
    </w:p>
    <w:p>
      <w:pPr>
        <w:pStyle w:val="FirstParagraph"/>
      </w:pPr>
      <w:r>
        <w:t xml:space="preserve">The Security Lead ensures technical controls support this policy.</w:t>
      </w:r>
    </w:p>
    <w:p>
      <w:pPr>
        <w:pStyle w:val="BodyText"/>
      </w:pPr>
      <w:r>
        <w:t xml:space="preserve">Responsibilities:</w:t>
      </w:r>
      <w:r>
        <w:t xml:space="preserve"> </w:t>
      </w:r>
      <w:r>
        <w:t xml:space="preserve">- Reviews AI vendor security posture (see AI Vendor Risk Assessment)</w:t>
      </w:r>
      <w:r>
        <w:t xml:space="preserve"> </w:t>
      </w:r>
      <w:r>
        <w:t xml:space="preserve">- Manages authentication and access controls for AI systems</w:t>
      </w:r>
      <w:r>
        <w:t xml:space="preserve"> </w:t>
      </w:r>
      <w:r>
        <w:t xml:space="preserve">- Monitors for unauthorized AI use (Shadow AI detection)</w:t>
      </w:r>
      <w:r>
        <w:t xml:space="preserve"> </w:t>
      </w:r>
      <w:r>
        <w:t xml:space="preserve">- Investigates security incidents involving AI systems</w:t>
      </w:r>
    </w:p>
    <w:bookmarkEnd w:id="17"/>
    <w:bookmarkStart w:id="18" w:name="legal-compliance-liaison"/>
    <w:p>
      <w:pPr>
        <w:pStyle w:val="Heading3"/>
      </w:pPr>
      <w:r>
        <w:t xml:space="preserve">3.5 Legal / Compliance Liaison</w:t>
      </w:r>
    </w:p>
    <w:p>
      <w:pPr>
        <w:pStyle w:val="FirstParagraph"/>
      </w:pPr>
      <w:r>
        <w:t xml:space="preserve">Provides legal guidance on data protection, contracts, and regulatory obligations.</w:t>
      </w:r>
    </w:p>
    <w:p>
      <w:pPr>
        <w:pStyle w:val="BodyText"/>
      </w:pPr>
      <w:r>
        <w:t xml:space="preserve">Responsibilities:</w:t>
      </w:r>
      <w:r>
        <w:t xml:space="preserve"> </w:t>
      </w:r>
      <w:r>
        <w:t xml:space="preserve">- Reviews AI vendor contracts and data processing agreements</w:t>
      </w:r>
      <w:r>
        <w:t xml:space="preserve"> </w:t>
      </w:r>
      <w:r>
        <w:t xml:space="preserve">- Advises on legal basis for AI processing of personal data</w:t>
      </w:r>
      <w:r>
        <w:t xml:space="preserve"> </w:t>
      </w:r>
      <w:r>
        <w:t xml:space="preserve">- Manages regulatory correspondence related to AI</w:t>
      </w:r>
      <w:r>
        <w:t xml:space="preserve"> </w:t>
      </w:r>
      <w:r>
        <w:t xml:space="preserve">- Reviews policy changes for legal soundness</w:t>
      </w:r>
    </w:p>
    <w:p>
      <w:pPr>
        <w:pStyle w:val="BodyText"/>
      </w:pPr>
      <w:r>
        <w:rPr>
          <w:i/>
          <w:iCs/>
        </w:rPr>
        <w:t xml:space="preserve">Guidance: Depending on [COMPANY NAME]’s stage and legal setup, this role may be filled by in-house counsel, a fractional General Counsel, or external counsel engaged on retainer. Document who fills this role and how they are engaged, ensuring the person or firm has demonstrated familiarity with data protection law and AI-specific regulatory developments.</w:t>
      </w:r>
    </w:p>
    <w:bookmarkEnd w:id="18"/>
    <w:bookmarkStart w:id="19" w:name="all-employees"/>
    <w:p>
      <w:pPr>
        <w:pStyle w:val="Heading3"/>
      </w:pPr>
      <w:r>
        <w:t xml:space="preserve">3.6 All Employees</w:t>
      </w:r>
    </w:p>
    <w:p>
      <w:pPr>
        <w:pStyle w:val="FirstParagraph"/>
      </w:pPr>
      <w:r>
        <w:t xml:space="preserve">Every employee has baseline responsibilities under this policy.</w:t>
      </w:r>
    </w:p>
    <w:p>
      <w:pPr>
        <w:pStyle w:val="BodyText"/>
      </w:pPr>
      <w:r>
        <w:t xml:space="preserve">Responsibilities:</w:t>
      </w:r>
      <w:r>
        <w:t xml:space="preserve"> </w:t>
      </w:r>
      <w:r>
        <w:t xml:space="preserve">- Complete required training (see Section 12)</w:t>
      </w:r>
      <w:r>
        <w:t xml:space="preserve"> </w:t>
      </w:r>
      <w:r>
        <w:t xml:space="preserve">- Follow approved processes when using AI at work</w:t>
      </w:r>
      <w:r>
        <w:t xml:space="preserve"> </w:t>
      </w:r>
      <w:r>
        <w:t xml:space="preserve">- Do not use unapproved AI systems for Tier 2 or above data without documented approval per the exception process (see Section 5.5)</w:t>
      </w:r>
      <w:r>
        <w:t xml:space="preserve"> </w:t>
      </w:r>
      <w:r>
        <w:t xml:space="preserve">- Report suspected policy violations or near-misses promptly</w:t>
      </w:r>
    </w:p>
    <w:p>
      <w:r>
        <w:pict>
          <v:rect style="width:0;height:1.5pt" o:hralign="center" o:hrstd="t" o:hr="t"/>
        </w:pict>
      </w:r>
    </w:p>
    <w:bookmarkEnd w:id="19"/>
    <w:bookmarkEnd w:id="20"/>
    <w:bookmarkStart w:id="25" w:name="data-classification-for-ai-use"/>
    <w:p>
      <w:pPr>
        <w:pStyle w:val="Heading2"/>
      </w:pPr>
      <w:r>
        <w:t xml:space="preserve">4. Data Classification for AI Use</w:t>
      </w:r>
    </w:p>
    <w:p>
      <w:pPr>
        <w:pStyle w:val="FirstParagraph"/>
      </w:pPr>
      <w:r>
        <w:t xml:space="preserve">All data must be classified before it may be processed by an AI system. The classification determines which AI systems may process the data and under what conditions.</w:t>
      </w:r>
    </w:p>
    <w:bookmarkStart w:id="21" w:name="classification-tiers"/>
    <w:p>
      <w:pPr>
        <w:pStyle w:val="Heading3"/>
      </w:pPr>
      <w:r>
        <w:t xml:space="preserve">4.1 Classification Tiers</w:t>
      </w:r>
    </w:p>
    <w:tbl>
      <w:tblPr>
        <w:tblStyle w:val="Table"/>
        <w:tblW w:type="pct" w:w="5000"/>
        <w:tblLayout w:type="fixed"/>
        <w:tblLook w:firstRow="1" w:lastRow="0" w:firstColumn="0" w:lastColumn="0" w:noHBand="0" w:noVBand="0" w:val="0020"/>
      </w:tblPr>
      <w:tblGrid>
        <w:gridCol w:w="1011"/>
        <w:gridCol w:w="1685"/>
        <w:gridCol w:w="1685"/>
        <w:gridCol w:w="3538"/>
      </w:tblGrid>
      <w:tr>
        <w:trPr>
          <w:tblHeader w:val="on"/>
        </w:trPr>
        <w:tc>
          <w:tcPr/>
          <w:p>
            <w:pPr>
              <w:pStyle w:val="Compact"/>
            </w:pPr>
            <w:r>
              <w:t xml:space="preserve">Tier</w:t>
            </w:r>
          </w:p>
        </w:tc>
        <w:tc>
          <w:tcPr/>
          <w:p>
            <w:pPr>
              <w:pStyle w:val="Compact"/>
            </w:pPr>
            <w:r>
              <w:t xml:space="preserve">Category</w:t>
            </w:r>
          </w:p>
        </w:tc>
        <w:tc>
          <w:tcPr/>
          <w:p>
            <w:pPr>
              <w:pStyle w:val="Compact"/>
            </w:pPr>
            <w:r>
              <w:t xml:space="preserve">Examples</w:t>
            </w:r>
          </w:p>
        </w:tc>
        <w:tc>
          <w:tcPr/>
          <w:p>
            <w:pPr>
              <w:pStyle w:val="Compact"/>
            </w:pPr>
            <w:r>
              <w:t xml:space="preserve">AI Processing Rules</w:t>
            </w:r>
          </w:p>
        </w:tc>
      </w:tr>
      <w:tr>
        <w:tc>
          <w:tcPr/>
          <w:p>
            <w:pPr>
              <w:pStyle w:val="Compact"/>
            </w:pPr>
            <w:r>
              <w:rPr>
                <w:b/>
                <w:bCs/>
              </w:rPr>
              <w:t xml:space="preserve">1</w:t>
            </w:r>
          </w:p>
        </w:tc>
        <w:tc>
          <w:tcPr/>
          <w:p>
            <w:pPr>
              <w:pStyle w:val="Compact"/>
            </w:pPr>
            <w:r>
              <w:t xml:space="preserve">Public</w:t>
            </w:r>
          </w:p>
        </w:tc>
        <w:tc>
          <w:tcPr/>
          <w:p>
            <w:pPr>
              <w:pStyle w:val="Compact"/>
            </w:pPr>
            <w:r>
              <w:t xml:space="preserve">Marketing content, published blogs, public product info</w:t>
            </w:r>
          </w:p>
        </w:tc>
        <w:tc>
          <w:tcPr/>
          <w:p>
            <w:pPr>
              <w:pStyle w:val="Compact"/>
            </w:pPr>
            <w:r>
              <w:t xml:space="preserve">May be processed by any approved AI system</w:t>
            </w:r>
          </w:p>
        </w:tc>
      </w:tr>
      <w:tr>
        <w:tc>
          <w:tcPr/>
          <w:p>
            <w:pPr>
              <w:pStyle w:val="Compact"/>
            </w:pPr>
            <w:r>
              <w:rPr>
                <w:b/>
                <w:bCs/>
              </w:rPr>
              <w:t xml:space="preserve">2</w:t>
            </w:r>
          </w:p>
        </w:tc>
        <w:tc>
          <w:tcPr/>
          <w:p>
            <w:pPr>
              <w:pStyle w:val="Compact"/>
            </w:pPr>
            <w:r>
              <w:t xml:space="preserve">Internal</w:t>
            </w:r>
          </w:p>
        </w:tc>
        <w:tc>
          <w:tcPr/>
          <w:p>
            <w:pPr>
              <w:pStyle w:val="Compact"/>
            </w:pPr>
            <w:r>
              <w:t xml:space="preserve">Internal docs, non-sensitive emails, code without secrets</w:t>
            </w:r>
          </w:p>
        </w:tc>
        <w:tc>
          <w:tcPr/>
          <w:p>
            <w:pPr>
              <w:pStyle w:val="Compact"/>
            </w:pPr>
            <w:r>
              <w:t xml:space="preserve">May be processed by approved enterprise-tier AI (e.g., ChatGPT Enterprise, Claude for Work); prohibited from consumer-tier AI</w:t>
            </w:r>
          </w:p>
        </w:tc>
      </w:tr>
      <w:tr>
        <w:tc>
          <w:tcPr/>
          <w:p>
            <w:pPr>
              <w:pStyle w:val="Compact"/>
            </w:pPr>
            <w:r>
              <w:rPr>
                <w:b/>
                <w:bCs/>
              </w:rPr>
              <w:t xml:space="preserve">3</w:t>
            </w:r>
          </w:p>
        </w:tc>
        <w:tc>
          <w:tcPr/>
          <w:p>
            <w:pPr>
              <w:pStyle w:val="Compact"/>
            </w:pPr>
            <w:r>
              <w:t xml:space="preserve">Customer</w:t>
            </w:r>
          </w:p>
        </w:tc>
        <w:tc>
          <w:tcPr/>
          <w:p>
            <w:pPr>
              <w:pStyle w:val="Compact"/>
            </w:pPr>
            <w:r>
              <w:t xml:space="preserve">Customer support conversations, customer usage data, non-PII customer records</w:t>
            </w:r>
          </w:p>
        </w:tc>
        <w:tc>
          <w:tcPr/>
          <w:p>
            <w:pPr>
              <w:pStyle w:val="Compact"/>
            </w:pPr>
            <w:r>
              <w:t xml:space="preserve">May be processed only by AI systems with signed Data Processing Agreements and approved data handling; prohibited from AI systems used for provider model training</w:t>
            </w:r>
          </w:p>
        </w:tc>
      </w:tr>
      <w:tr>
        <w:tc>
          <w:tcPr/>
          <w:p>
            <w:pPr>
              <w:pStyle w:val="Compact"/>
            </w:pPr>
            <w:r>
              <w:rPr>
                <w:b/>
                <w:bCs/>
              </w:rPr>
              <w:t xml:space="preserve">4</w:t>
            </w:r>
          </w:p>
        </w:tc>
        <w:tc>
          <w:tcPr/>
          <w:p>
            <w:pPr>
              <w:pStyle w:val="Compact"/>
            </w:pPr>
            <w:r>
              <w:t xml:space="preserve">Sensitive</w:t>
            </w:r>
          </w:p>
        </w:tc>
        <w:tc>
          <w:tcPr/>
          <w:p>
            <w:pPr>
              <w:pStyle w:val="Compact"/>
            </w:pPr>
            <w:r>
              <w:t xml:space="preserve">Personally Identifiable Information (PII), financial account data, credentials</w:t>
            </w:r>
          </w:p>
        </w:tc>
        <w:tc>
          <w:tcPr/>
          <w:p>
            <w:pPr>
              <w:pStyle w:val="Compact"/>
            </w:pPr>
            <w:r>
              <w:t xml:space="preserve">May be processed only by AI systems specifically approved for this tier; requires enhanced logging and monitoring; typically requires PII redaction or tokenization before processing</w:t>
            </w:r>
          </w:p>
        </w:tc>
      </w:tr>
      <w:tr>
        <w:tc>
          <w:tcPr/>
          <w:p>
            <w:pPr>
              <w:pStyle w:val="Compact"/>
            </w:pPr>
            <w:r>
              <w:rPr>
                <w:b/>
                <w:bCs/>
              </w:rPr>
              <w:t xml:space="preserve">5</w:t>
            </w:r>
          </w:p>
        </w:tc>
        <w:tc>
          <w:tcPr/>
          <w:p>
            <w:pPr>
              <w:pStyle w:val="Compact"/>
            </w:pPr>
            <w:r>
              <w:t xml:space="preserve">Regulated</w:t>
            </w:r>
          </w:p>
        </w:tc>
        <w:tc>
          <w:tcPr/>
          <w:p>
            <w:pPr>
              <w:pStyle w:val="Compact"/>
            </w:pPr>
            <w:r>
              <w:t xml:space="preserve">HIPAA-protected health information, PCI cardholder data, other legally restricted categories</w:t>
            </w:r>
          </w:p>
        </w:tc>
        <w:tc>
          <w:tcPr/>
          <w:p>
            <w:pPr>
              <w:pStyle w:val="Compact"/>
            </w:pPr>
            <w:r>
              <w:t xml:space="preserve">May be processed only by AI systems that meet the applicable regulatory framework; requires explicit legal review and documented compliance basis</w:t>
            </w:r>
          </w:p>
        </w:tc>
      </w:tr>
    </w:tbl>
    <w:p>
      <w:pPr>
        <w:pStyle w:val="BodyText"/>
      </w:pPr>
      <w:r>
        <w:rPr>
          <w:i/>
          <w:iCs/>
        </w:rPr>
        <w:t xml:space="preserve">Guidance: The intersection of AI services and regulated data (HIPAA, PCI-DSS, GLBA, etc.) is a rapidly evolving area with limited fully-compliant options as of the policy effective date. Some cloud providers offer HIPAA-eligible AI infrastructure (e.g., AWS Bedrock via BAA), but general-purpose LLM APIs typically are not covered. Verify current regulatory posture directly with the vendor and consult counsel before processing Tier 5 data through any AI system.</w:t>
      </w:r>
    </w:p>
    <w:p>
      <w:pPr>
        <w:pStyle w:val="BodyText"/>
      </w:pPr>
      <w:r>
        <w:rPr>
          <w:i/>
          <w:iCs/>
        </w:rPr>
        <w:t xml:space="preserve">Guidance: Not every company processes Tier 5 data. If [COMPANY NAME] does not handle HIPAA, PCI, or similar regulated data, this tier may be marked</w:t>
      </w:r>
      <w:r>
        <w:rPr>
          <w:i/>
          <w:iCs/>
        </w:rPr>
        <w:t xml:space="preserve"> </w:t>
      </w:r>
      <w:r>
        <w:rPr>
          <w:i/>
          <w:iCs/>
        </w:rPr>
        <w:t xml:space="preserve">“Not Applicable”</w:t>
      </w:r>
      <w:r>
        <w:rPr>
          <w:i/>
          <w:iCs/>
        </w:rPr>
        <w:t xml:space="preserve"> </w:t>
      </w:r>
      <w:r>
        <w:rPr>
          <w:i/>
          <w:iCs/>
        </w:rPr>
        <w:t xml:space="preserve">but should remain in the policy to preserve consistency if the situation changes.</w:t>
      </w:r>
    </w:p>
    <w:bookmarkEnd w:id="21"/>
    <w:bookmarkStart w:id="22" w:name="X087ce559f381654e1c5f3c93d5c648a3d0b5e95"/>
    <w:p>
      <w:pPr>
        <w:pStyle w:val="Heading3"/>
      </w:pPr>
      <w:r>
        <w:t xml:space="preserve">4.2 Determining Whether a Provider Trains on Customer Data</w:t>
      </w:r>
    </w:p>
    <w:p>
      <w:pPr>
        <w:pStyle w:val="FirstParagraph"/>
      </w:pPr>
      <w:r>
        <w:t xml:space="preserve">To apply Tier 3 restrictions correctly, [COMPANY NAME] must know whether a given AI provider uses customer inputs to train its models. This information is typically found in:</w:t>
      </w:r>
    </w:p>
    <w:p>
      <w:pPr>
        <w:pStyle w:val="Compact"/>
        <w:numPr>
          <w:ilvl w:val="0"/>
          <w:numId w:val="1005"/>
        </w:numPr>
      </w:pPr>
      <w:r>
        <w:t xml:space="preserve">The provider’s Data Processing Agreement (DPA) — look for explicit statements about training use</w:t>
      </w:r>
    </w:p>
    <w:p>
      <w:pPr>
        <w:pStyle w:val="Compact"/>
        <w:numPr>
          <w:ilvl w:val="0"/>
          <w:numId w:val="1005"/>
        </w:numPr>
      </w:pPr>
      <w:r>
        <w:t xml:space="preserve">The provider’s terms of service, distinguishing consumer tiers from enterprise/API tiers</w:t>
      </w:r>
    </w:p>
    <w:p>
      <w:pPr>
        <w:pStyle w:val="Compact"/>
        <w:numPr>
          <w:ilvl w:val="0"/>
          <w:numId w:val="1005"/>
        </w:numPr>
      </w:pPr>
      <w:r>
        <w:t xml:space="preserve">The provider’s public documentation on data handling (often in security or trust pages)</w:t>
      </w:r>
    </w:p>
    <w:p>
      <w:pPr>
        <w:pStyle w:val="Compact"/>
        <w:numPr>
          <w:ilvl w:val="0"/>
          <w:numId w:val="1005"/>
        </w:numPr>
      </w:pPr>
      <w:r>
        <w:t xml:space="preserve">Direct written confirmation from the provider’s account team, particularly for enterprise contracts</w:t>
      </w:r>
    </w:p>
    <w:p>
      <w:pPr>
        <w:pStyle w:val="FirstParagraph"/>
      </w:pPr>
      <w:r>
        <w:rPr>
          <w:b/>
          <w:bCs/>
        </w:rPr>
        <w:t xml:space="preserve">Common patterns to watch for:</w:t>
      </w:r>
      <w:r>
        <w:t xml:space="preserve"> </w:t>
      </w:r>
      <w:r>
        <w:t xml:space="preserve">- Consumer tiers (e.g., free ChatGPT, free Claude, free Gemini) typically DO use inputs for training by default</w:t>
      </w:r>
      <w:r>
        <w:t xml:space="preserve"> </w:t>
      </w:r>
      <w:r>
        <w:t xml:space="preserve">- Enterprise and paid API tiers typically do NOT use inputs for training by default, but this varies by provider and tier</w:t>
      </w:r>
      <w:r>
        <w:t xml:space="preserve"> </w:t>
      </w:r>
      <w:r>
        <w:t xml:space="preserve">-</w:t>
      </w:r>
      <w:r>
        <w:t xml:space="preserve"> </w:t>
      </w:r>
      <w:r>
        <w:t xml:space="preserve">“Opt-out”</w:t>
      </w:r>
      <w:r>
        <w:t xml:space="preserve"> </w:t>
      </w:r>
      <w:r>
        <w:t xml:space="preserve">arrangements shift the default — verify current setting rather than assuming</w:t>
      </w:r>
      <w:r>
        <w:t xml:space="preserve"> </w:t>
      </w:r>
      <w:r>
        <w:t xml:space="preserve">- Some providers offer</w:t>
      </w:r>
      <w:r>
        <w:t xml:space="preserve"> </w:t>
      </w:r>
      <w:r>
        <w:t xml:space="preserve">“zero data retention”</w:t>
      </w:r>
      <w:r>
        <w:t xml:space="preserve"> </w:t>
      </w:r>
      <w:r>
        <w:t xml:space="preserve">options for enterprise customers, which prevent training use as a byproduct</w:t>
      </w:r>
    </w:p>
    <w:p>
      <w:pPr>
        <w:pStyle w:val="BodyText"/>
      </w:pPr>
      <w:r>
        <w:t xml:space="preserve">When in doubt about a specific provider tier, treat as</w:t>
      </w:r>
      <w:r>
        <w:t xml:space="preserve"> </w:t>
      </w:r>
      <w:r>
        <w:t xml:space="preserve">“trains on customer data”</w:t>
      </w:r>
      <w:r>
        <w:t xml:space="preserve"> </w:t>
      </w:r>
      <w:r>
        <w:t xml:space="preserve">until confirmed otherwise. Document the determination and its source in the AI Systems Inventory.</w:t>
      </w:r>
    </w:p>
    <w:bookmarkEnd w:id="22"/>
    <w:bookmarkStart w:id="23" w:name="classifying-ai-outputs"/>
    <w:p>
      <w:pPr>
        <w:pStyle w:val="Heading3"/>
      </w:pPr>
      <w:r>
        <w:t xml:space="preserve">4.3 Classifying AI Outputs</w:t>
      </w:r>
    </w:p>
    <w:p>
      <w:pPr>
        <w:pStyle w:val="FirstParagraph"/>
      </w:pPr>
      <w:r>
        <w:t xml:space="preserve">AI system outputs inherit the highest classification of any input data that materially influenced them. For example:</w:t>
      </w:r>
      <w:r>
        <w:t xml:space="preserve"> </w:t>
      </w:r>
      <w:r>
        <w:t xml:space="preserve">- A completion generated from a prompt containing Tier 3 customer data is itself Tier 3</w:t>
      </w:r>
      <w:r>
        <w:t xml:space="preserve"> </w:t>
      </w:r>
      <w:r>
        <w:t xml:space="preserve">- A summary of Tier 4 sensitive data is Tier 4</w:t>
      </w:r>
      <w:r>
        <w:t xml:space="preserve"> </w:t>
      </w:r>
      <w:r>
        <w:t xml:space="preserve">- A model fine-tuned on Tier 3 data is a Tier 3 asset</w:t>
      </w:r>
    </w:p>
    <w:p>
      <w:pPr>
        <w:pStyle w:val="BodyText"/>
      </w:pPr>
      <w:r>
        <w:t xml:space="preserve">Handle AI outputs according to their inherited classification.</w:t>
      </w:r>
    </w:p>
    <w:bookmarkEnd w:id="23"/>
    <w:bookmarkStart w:id="24" w:name="decision-support"/>
    <w:p>
      <w:pPr>
        <w:pStyle w:val="Heading3"/>
      </w:pPr>
      <w:r>
        <w:t xml:space="preserve">4.4 Decision Support</w:t>
      </w:r>
    </w:p>
    <w:p>
      <w:pPr>
        <w:pStyle w:val="FirstParagraph"/>
      </w:pPr>
      <w:r>
        <w:t xml:space="preserve">When classification is unclear, use the decision tree in Appendix B. When still uncertain, err toward the higher tier and consult a Data Steward or the Data Governance Lead.</w:t>
      </w:r>
    </w:p>
    <w:p>
      <w:r>
        <w:pict>
          <v:rect style="width:0;height:1.5pt" o:hralign="center" o:hrstd="t" o:hr="t"/>
        </w:pict>
      </w:r>
    </w:p>
    <w:bookmarkEnd w:id="24"/>
    <w:bookmarkEnd w:id="25"/>
    <w:bookmarkStart w:id="31" w:name="approved-ai-systems-vendors"/>
    <w:p>
      <w:pPr>
        <w:pStyle w:val="Heading2"/>
      </w:pPr>
      <w:r>
        <w:t xml:space="preserve">5. Approved AI Systems &amp; Vendors</w:t>
      </w:r>
    </w:p>
    <w:p>
      <w:pPr>
        <w:pStyle w:val="FirstParagraph"/>
      </w:pPr>
      <w:r>
        <w:t xml:space="preserve">[COMPANY NAME] maintains an approved list of AI systems and vendors. Use of AI systems not on the approved list is prohibited for any data beyond Tier 1 (Public).</w:t>
      </w:r>
    </w:p>
    <w:bookmarkStart w:id="26" w:name="approval-workflow"/>
    <w:p>
      <w:pPr>
        <w:pStyle w:val="Heading3"/>
      </w:pPr>
      <w:r>
        <w:t xml:space="preserve">5.1 Approval Workflow</w:t>
      </w:r>
    </w:p>
    <w:p>
      <w:pPr>
        <w:pStyle w:val="FirstParagraph"/>
      </w:pPr>
      <w:r>
        <w:t xml:space="preserve">Before a new AI system may be used with [COMPANY NAME] data (beyond Tier 1):</w:t>
      </w:r>
    </w:p>
    <w:p>
      <w:pPr>
        <w:pStyle w:val="Compact"/>
        <w:numPr>
          <w:ilvl w:val="0"/>
          <w:numId w:val="1006"/>
        </w:numPr>
      </w:pPr>
      <w:r>
        <w:rPr>
          <w:b/>
          <w:bCs/>
        </w:rPr>
        <w:t xml:space="preserve">Request submission:</w:t>
      </w:r>
      <w:r>
        <w:t xml:space="preserve"> </w:t>
      </w:r>
      <w:r>
        <w:t xml:space="preserve">Requestor submits a brief describing the intended use case, data categories involved, expected users, and business justification</w:t>
      </w:r>
    </w:p>
    <w:p>
      <w:pPr>
        <w:pStyle w:val="Compact"/>
        <w:numPr>
          <w:ilvl w:val="0"/>
          <w:numId w:val="1006"/>
        </w:numPr>
      </w:pPr>
      <w:r>
        <w:rPr>
          <w:b/>
          <w:bCs/>
        </w:rPr>
        <w:t xml:space="preserve">Security review:</w:t>
      </w:r>
      <w:r>
        <w:t xml:space="preserve"> </w:t>
      </w:r>
      <w:r>
        <w:t xml:space="preserve">Security Lead assesses vendor security posture (see AI Vendor Risk Assessment Policy)</w:t>
      </w:r>
    </w:p>
    <w:p>
      <w:pPr>
        <w:pStyle w:val="Compact"/>
        <w:numPr>
          <w:ilvl w:val="0"/>
          <w:numId w:val="1006"/>
        </w:numPr>
      </w:pPr>
      <w:r>
        <w:rPr>
          <w:b/>
          <w:bCs/>
        </w:rPr>
        <w:t xml:space="preserve">Legal review:</w:t>
      </w:r>
      <w:r>
        <w:t xml:space="preserve"> </w:t>
      </w:r>
      <w:r>
        <w:t xml:space="preserve">Legal / Compliance Liaison reviews contract terms and data processing arrangements</w:t>
      </w:r>
    </w:p>
    <w:p>
      <w:pPr>
        <w:pStyle w:val="Compact"/>
        <w:numPr>
          <w:ilvl w:val="0"/>
          <w:numId w:val="1006"/>
        </w:numPr>
      </w:pPr>
      <w:r>
        <w:rPr>
          <w:b/>
          <w:bCs/>
        </w:rPr>
        <w:t xml:space="preserve">Data steward approval:</w:t>
      </w:r>
      <w:r>
        <w:t xml:space="preserve"> </w:t>
      </w:r>
      <w:r>
        <w:t xml:space="preserve">Relevant Data Stewards approve based on data classification implications</w:t>
      </w:r>
    </w:p>
    <w:p>
      <w:pPr>
        <w:pStyle w:val="Compact"/>
        <w:numPr>
          <w:ilvl w:val="0"/>
          <w:numId w:val="1006"/>
        </w:numPr>
      </w:pPr>
      <w:r>
        <w:rPr>
          <w:b/>
          <w:bCs/>
        </w:rPr>
        <w:t xml:space="preserve">Data Governance Lead decision:</w:t>
      </w:r>
      <w:r>
        <w:t xml:space="preserve"> </w:t>
      </w:r>
      <w:r>
        <w:t xml:space="preserve">Final approval or rejection, with conditions where applicable</w:t>
      </w:r>
    </w:p>
    <w:p>
      <w:pPr>
        <w:pStyle w:val="Compact"/>
        <w:numPr>
          <w:ilvl w:val="0"/>
          <w:numId w:val="1006"/>
        </w:numPr>
      </w:pPr>
      <w:r>
        <w:rPr>
          <w:b/>
          <w:bCs/>
        </w:rPr>
        <w:t xml:space="preserve">Documentation:</w:t>
      </w:r>
      <w:r>
        <w:t xml:space="preserve"> </w:t>
      </w:r>
      <w:r>
        <w:t xml:space="preserve">Approved systems are added to the AI Systems Inventory (see AI Tool Inventory Policy)</w:t>
      </w:r>
    </w:p>
    <w:p>
      <w:pPr>
        <w:pStyle w:val="FirstParagraph"/>
      </w:pPr>
      <w:r>
        <w:t xml:space="preserve">Target turnaround: 10 business days for standard requests, 3 business days for renewals.</w:t>
      </w:r>
    </w:p>
    <w:bookmarkEnd w:id="26"/>
    <w:bookmarkStart w:id="27" w:name="vendor-requirements"/>
    <w:p>
      <w:pPr>
        <w:pStyle w:val="Heading3"/>
      </w:pPr>
      <w:r>
        <w:t xml:space="preserve">5.2 Vendor Requirements</w:t>
      </w:r>
    </w:p>
    <w:p>
      <w:pPr>
        <w:pStyle w:val="FirstParagraph"/>
      </w:pPr>
      <w:r>
        <w:t xml:space="preserve">Approved AI vendors must, at minimum:</w:t>
      </w:r>
    </w:p>
    <w:p>
      <w:pPr>
        <w:pStyle w:val="Compact"/>
        <w:numPr>
          <w:ilvl w:val="0"/>
          <w:numId w:val="1007"/>
        </w:numPr>
      </w:pPr>
      <w:r>
        <w:t xml:space="preserve">Provide a signed Data Processing Agreement (DPA) covering AI-specific data handling</w:t>
      </w:r>
    </w:p>
    <w:p>
      <w:pPr>
        <w:pStyle w:val="Compact"/>
        <w:numPr>
          <w:ilvl w:val="0"/>
          <w:numId w:val="1007"/>
        </w:numPr>
      </w:pPr>
      <w:r>
        <w:t xml:space="preserve">Offer clear commitments on whether inputs are used to train their models</w:t>
      </w:r>
    </w:p>
    <w:p>
      <w:pPr>
        <w:pStyle w:val="Compact"/>
        <w:numPr>
          <w:ilvl w:val="0"/>
          <w:numId w:val="1007"/>
        </w:numPr>
      </w:pPr>
      <w:r>
        <w:t xml:space="preserve">Support data deletion requests within regulatory timeframes</w:t>
      </w:r>
    </w:p>
    <w:p>
      <w:pPr>
        <w:pStyle w:val="Compact"/>
        <w:numPr>
          <w:ilvl w:val="0"/>
          <w:numId w:val="1007"/>
        </w:numPr>
      </w:pPr>
      <w:r>
        <w:t xml:space="preserve">Maintain documented security controls (SOC 2 Type II, ISO 27001, or equivalent)</w:t>
      </w:r>
    </w:p>
    <w:p>
      <w:pPr>
        <w:pStyle w:val="Compact"/>
        <w:numPr>
          <w:ilvl w:val="0"/>
          <w:numId w:val="1007"/>
        </w:numPr>
      </w:pPr>
      <w:r>
        <w:t xml:space="preserve">Provide breach notification within 72 hours of discovery</w:t>
      </w:r>
    </w:p>
    <w:p>
      <w:pPr>
        <w:pStyle w:val="Compact"/>
        <w:numPr>
          <w:ilvl w:val="0"/>
          <w:numId w:val="1007"/>
        </w:numPr>
      </w:pPr>
      <w:r>
        <w:t xml:space="preserve">Disclose the sub-processors involved in delivering AI services</w:t>
      </w:r>
    </w:p>
    <w:p>
      <w:pPr>
        <w:pStyle w:val="Compact"/>
        <w:numPr>
          <w:ilvl w:val="0"/>
          <w:numId w:val="1007"/>
        </w:numPr>
      </w:pPr>
      <w:r>
        <w:t xml:space="preserve">Maintain data residency commitments where applicable</w:t>
      </w:r>
    </w:p>
    <w:p>
      <w:pPr>
        <w:pStyle w:val="FirstParagraph"/>
      </w:pPr>
      <w:r>
        <w:t xml:space="preserve">Additional requirements apply for higher-tier data (see AI Vendor Risk Assessment Policy).</w:t>
      </w:r>
    </w:p>
    <w:bookmarkEnd w:id="27"/>
    <w:bookmarkStart w:id="28" w:name="prohibited-uses"/>
    <w:p>
      <w:pPr>
        <w:pStyle w:val="Heading3"/>
      </w:pPr>
      <w:r>
        <w:t xml:space="preserve">5.3 Prohibited Uses</w:t>
      </w:r>
    </w:p>
    <w:p>
      <w:pPr>
        <w:pStyle w:val="FirstParagraph"/>
      </w:pPr>
      <w:r>
        <w:t xml:space="preserve">The following uses of AI systems are prohibited regardless of approval status:</w:t>
      </w:r>
    </w:p>
    <w:p>
      <w:pPr>
        <w:pStyle w:val="Compact"/>
        <w:numPr>
          <w:ilvl w:val="0"/>
          <w:numId w:val="1008"/>
        </w:numPr>
      </w:pPr>
      <w:r>
        <w:t xml:space="preserve">Processing Tier 4 or Tier 5 data through consumer-tier AI accounts (e.g., personal ChatGPT accounts)</w:t>
      </w:r>
    </w:p>
    <w:p>
      <w:pPr>
        <w:pStyle w:val="Compact"/>
        <w:numPr>
          <w:ilvl w:val="0"/>
          <w:numId w:val="1008"/>
        </w:numPr>
      </w:pPr>
      <w:r>
        <w:t xml:space="preserve">Submitting credentials, API keys, or other secrets to any AI system</w:t>
      </w:r>
    </w:p>
    <w:p>
      <w:pPr>
        <w:pStyle w:val="Compact"/>
        <w:numPr>
          <w:ilvl w:val="0"/>
          <w:numId w:val="1008"/>
        </w:numPr>
      </w:pPr>
      <w:r>
        <w:t xml:space="preserve">Using AI systems to make legally significant decisions about individuals without human review (see AI System Impact Assessment Policy)</w:t>
      </w:r>
    </w:p>
    <w:p>
      <w:pPr>
        <w:pStyle w:val="Compact"/>
        <w:numPr>
          <w:ilvl w:val="0"/>
          <w:numId w:val="1008"/>
        </w:numPr>
      </w:pPr>
      <w:r>
        <w:t xml:space="preserve">Uploading customer data to AI systems for personal experimentation</w:t>
      </w:r>
    </w:p>
    <w:p>
      <w:pPr>
        <w:pStyle w:val="Compact"/>
        <w:numPr>
          <w:ilvl w:val="0"/>
          <w:numId w:val="1008"/>
        </w:numPr>
      </w:pPr>
      <w:r>
        <w:t xml:space="preserve">Using AI-generated content in customer-facing communications without human review</w:t>
      </w:r>
    </w:p>
    <w:p>
      <w:pPr>
        <w:pStyle w:val="Compact"/>
        <w:numPr>
          <w:ilvl w:val="0"/>
          <w:numId w:val="1008"/>
        </w:numPr>
      </w:pPr>
      <w:r>
        <w:t xml:space="preserve">Bypassing approved workflows to accelerate AI adoption</w:t>
      </w:r>
    </w:p>
    <w:p>
      <w:pPr>
        <w:pStyle w:val="FirstParagraph"/>
      </w:pPr>
      <w:r>
        <w:rPr>
          <w:b/>
          <w:bCs/>
        </w:rPr>
        <w:t xml:space="preserve">Common near-misses to avoid.</w:t>
      </w:r>
      <w:r>
        <w:t xml:space="preserve"> </w:t>
      </w:r>
      <w:r>
        <w:t xml:space="preserve">The following are frequent violations of this policy that occur inadvertently. Employees should treat these as prohibited without further approval:</w:t>
      </w:r>
    </w:p>
    <w:p>
      <w:pPr>
        <w:pStyle w:val="Compact"/>
        <w:numPr>
          <w:ilvl w:val="0"/>
          <w:numId w:val="1009"/>
        </w:numPr>
      </w:pPr>
      <w:r>
        <w:t xml:space="preserve">Pasting application log files (which often contain PII, session tokens, or internal identifiers) into AI systems for debugging assistance</w:t>
      </w:r>
    </w:p>
    <w:p>
      <w:pPr>
        <w:pStyle w:val="Compact"/>
        <w:numPr>
          <w:ilvl w:val="0"/>
          <w:numId w:val="1009"/>
        </w:numPr>
      </w:pPr>
      <w:r>
        <w:t xml:space="preserve">Uploading customer contracts, agreements, or legal documents to AI systems for review, summarization, or redlining</w:t>
      </w:r>
    </w:p>
    <w:p>
      <w:pPr>
        <w:pStyle w:val="Compact"/>
        <w:numPr>
          <w:ilvl w:val="0"/>
          <w:numId w:val="1009"/>
        </w:numPr>
      </w:pPr>
      <w:r>
        <w:t xml:space="preserve">Using AI to draft customer emails that include the customer’s personal details, order history, or account information as context</w:t>
      </w:r>
    </w:p>
    <w:p>
      <w:pPr>
        <w:pStyle w:val="Compact"/>
        <w:numPr>
          <w:ilvl w:val="0"/>
          <w:numId w:val="1009"/>
        </w:numPr>
      </w:pPr>
      <w:r>
        <w:t xml:space="preserve">Sharing internal Slack messages, meeting transcripts, or engineering documentation with AI systems for summarization</w:t>
      </w:r>
    </w:p>
    <w:p>
      <w:pPr>
        <w:pStyle w:val="Compact"/>
        <w:numPr>
          <w:ilvl w:val="0"/>
          <w:numId w:val="1009"/>
        </w:numPr>
      </w:pPr>
      <w:r>
        <w:t xml:space="preserve">Feeding database schemas containing customer table names or column definitions into AI systems for query generation</w:t>
      </w:r>
    </w:p>
    <w:p>
      <w:pPr>
        <w:pStyle w:val="Compact"/>
        <w:numPr>
          <w:ilvl w:val="0"/>
          <w:numId w:val="1009"/>
        </w:numPr>
      </w:pPr>
      <w:r>
        <w:t xml:space="preserve">Using AI code assistants on repositories containing proprietary business logic without confirming the assistant’s data handling terms</w:t>
      </w:r>
    </w:p>
    <w:p>
      <w:pPr>
        <w:pStyle w:val="FirstParagraph"/>
      </w:pPr>
      <w:r>
        <w:rPr>
          <w:i/>
          <w:iCs/>
        </w:rPr>
        <w:t xml:space="preserve">Guidance: These examples are common because they feel low-risk in the moment (</w:t>
      </w:r>
      <w:r>
        <w:rPr>
          <w:i/>
          <w:iCs/>
        </w:rPr>
        <w:t xml:space="preserve">“I just need to fix this bug faster”</w:t>
      </w:r>
      <w:r>
        <w:rPr>
          <w:i/>
          <w:iCs/>
        </w:rPr>
        <w:t xml:space="preserve">) but each involves sending non-public data to an AI system that may retain or train on it. When in doubt, redact identifying information before sending, or use only approved enterprise-tier AI accounts.</w:t>
      </w:r>
    </w:p>
    <w:bookmarkEnd w:id="28"/>
    <w:bookmarkStart w:id="29" w:name="shadow-ai-discovery"/>
    <w:p>
      <w:pPr>
        <w:pStyle w:val="Heading3"/>
      </w:pPr>
      <w:r>
        <w:t xml:space="preserve">5.4 Shadow AI Discovery</w:t>
      </w:r>
    </w:p>
    <w:p>
      <w:pPr>
        <w:pStyle w:val="FirstParagraph"/>
      </w:pPr>
      <w:r>
        <w:t xml:space="preserve">Unofficial AI use (</w:t>
      </w:r>
      <w:r>
        <w:t xml:space="preserve">“Shadow AI”</w:t>
      </w:r>
      <w:r>
        <w:t xml:space="preserve">) is a known risk. [COMPANY NAME] will:</w:t>
      </w:r>
    </w:p>
    <w:p>
      <w:pPr>
        <w:pStyle w:val="Compact"/>
        <w:numPr>
          <w:ilvl w:val="0"/>
          <w:numId w:val="1010"/>
        </w:numPr>
      </w:pPr>
      <w:r>
        <w:t xml:space="preserve">Monitor network traffic for connections to common AI service endpoints</w:t>
      </w:r>
    </w:p>
    <w:p>
      <w:pPr>
        <w:pStyle w:val="Compact"/>
        <w:numPr>
          <w:ilvl w:val="0"/>
          <w:numId w:val="1010"/>
        </w:numPr>
      </w:pPr>
      <w:r>
        <w:t xml:space="preserve">Include AI use questions in periodic security awareness surveys</w:t>
      </w:r>
    </w:p>
    <w:p>
      <w:pPr>
        <w:pStyle w:val="Compact"/>
        <w:numPr>
          <w:ilvl w:val="0"/>
          <w:numId w:val="1010"/>
        </w:numPr>
      </w:pPr>
      <w:r>
        <w:t xml:space="preserve">Provide a clear, low-friction approval workflow so employees are not incentivized to work around it</w:t>
      </w:r>
    </w:p>
    <w:p>
      <w:pPr>
        <w:pStyle w:val="Compact"/>
        <w:numPr>
          <w:ilvl w:val="0"/>
          <w:numId w:val="1010"/>
        </w:numPr>
      </w:pPr>
      <w:r>
        <w:t xml:space="preserve">Handle first-time Shadow AI discoveries as coaching opportunities, not disciplinary matters</w:t>
      </w:r>
    </w:p>
    <w:p>
      <w:pPr>
        <w:pStyle w:val="Compact"/>
        <w:numPr>
          <w:ilvl w:val="0"/>
          <w:numId w:val="1010"/>
        </w:numPr>
      </w:pPr>
      <w:r>
        <w:t xml:space="preserve">Escalate repeated or intentional violations to the Security Lead and HR</w:t>
      </w:r>
    </w:p>
    <w:p>
      <w:pPr>
        <w:pStyle w:val="FirstParagraph"/>
      </w:pPr>
      <w:r>
        <w:rPr>
          <w:i/>
          <w:iCs/>
        </w:rPr>
        <w:t xml:space="preserve">Guidance: The goal of Shadow AI detection is bringing AI use into a governed process, not punishment. A punitive approach drives use further underground.</w:t>
      </w:r>
    </w:p>
    <w:bookmarkEnd w:id="29"/>
    <w:bookmarkStart w:id="30" w:name="exception-process"/>
    <w:p>
      <w:pPr>
        <w:pStyle w:val="Heading3"/>
      </w:pPr>
      <w:r>
        <w:t xml:space="preserve">5.5 Exception Process</w:t>
      </w:r>
    </w:p>
    <w:p>
      <w:pPr>
        <w:pStyle w:val="FirstParagraph"/>
      </w:pPr>
      <w:r>
        <w:t xml:space="preserve">Situations may arise where an employee needs to use an AI system for a specific purpose that falls outside the approved list — for example, evaluating a new AI tool for potential adoption, responding to a time-sensitive customer request, or conducting a one-time analysis with a specific-purpose model.</w:t>
      </w:r>
    </w:p>
    <w:p>
      <w:pPr>
        <w:pStyle w:val="BodyText"/>
      </w:pPr>
      <w:r>
        <w:t xml:space="preserve">Requests for exceptions must:</w:t>
      </w:r>
    </w:p>
    <w:p>
      <w:pPr>
        <w:pStyle w:val="Compact"/>
        <w:numPr>
          <w:ilvl w:val="0"/>
          <w:numId w:val="1011"/>
        </w:numPr>
      </w:pPr>
      <w:r>
        <w:t xml:space="preserve">Be submitted in writing to the Data Governance Lead before the AI system is used</w:t>
      </w:r>
    </w:p>
    <w:p>
      <w:pPr>
        <w:pStyle w:val="Compact"/>
        <w:numPr>
          <w:ilvl w:val="0"/>
          <w:numId w:val="1011"/>
        </w:numPr>
      </w:pPr>
      <w:r>
        <w:t xml:space="preserve">Include: the AI system involved, the specific purpose, the data categories involved, the requested duration, and the business justification</w:t>
      </w:r>
    </w:p>
    <w:p>
      <w:pPr>
        <w:pStyle w:val="Compact"/>
        <w:numPr>
          <w:ilvl w:val="0"/>
          <w:numId w:val="1011"/>
        </w:numPr>
      </w:pPr>
      <w:r>
        <w:t xml:space="preserve">Be reviewed within 2 business days (target)</w:t>
      </w:r>
    </w:p>
    <w:p>
      <w:pPr>
        <w:pStyle w:val="Compact"/>
        <w:numPr>
          <w:ilvl w:val="0"/>
          <w:numId w:val="1011"/>
        </w:numPr>
      </w:pPr>
      <w:r>
        <w:t xml:space="preserve">Receive documented approval, denial, or approval with conditions</w:t>
      </w:r>
    </w:p>
    <w:p>
      <w:pPr>
        <w:pStyle w:val="Compact"/>
        <w:numPr>
          <w:ilvl w:val="0"/>
          <w:numId w:val="1011"/>
        </w:numPr>
      </w:pPr>
      <w:r>
        <w:t xml:space="preserve">Be time-bounded (typical exception: 30 days maximum before formal approval or discontinuation)</w:t>
      </w:r>
    </w:p>
    <w:p>
      <w:pPr>
        <w:pStyle w:val="Compact"/>
        <w:numPr>
          <w:ilvl w:val="0"/>
          <w:numId w:val="1011"/>
        </w:numPr>
      </w:pPr>
      <w:r>
        <w:t xml:space="preserve">Be logged in the Exceptions Register maintained by the Data Governance Lead</w:t>
      </w:r>
    </w:p>
    <w:p>
      <w:pPr>
        <w:pStyle w:val="FirstParagraph"/>
      </w:pPr>
      <w:r>
        <w:t xml:space="preserve">Exceptions are not appropriate for:</w:t>
      </w:r>
    </w:p>
    <w:p>
      <w:pPr>
        <w:pStyle w:val="Compact"/>
        <w:numPr>
          <w:ilvl w:val="0"/>
          <w:numId w:val="1012"/>
        </w:numPr>
      </w:pPr>
      <w:r>
        <w:t xml:space="preserve">Tier 4 or Tier 5 data (sensitive or regulated) — these always require the full approval workflow</w:t>
      </w:r>
    </w:p>
    <w:p>
      <w:pPr>
        <w:pStyle w:val="Compact"/>
        <w:numPr>
          <w:ilvl w:val="0"/>
          <w:numId w:val="1012"/>
        </w:numPr>
      </w:pPr>
      <w:r>
        <w:t xml:space="preserve">Recurring or ongoing use (which should proceed to full approval)</w:t>
      </w:r>
    </w:p>
    <w:p>
      <w:pPr>
        <w:pStyle w:val="Compact"/>
        <w:numPr>
          <w:ilvl w:val="0"/>
          <w:numId w:val="1012"/>
        </w:numPr>
      </w:pPr>
      <w:r>
        <w:t xml:space="preserve">Bypassing decisions previously made through the standard workflow</w:t>
      </w:r>
    </w:p>
    <w:p>
      <w:pPr>
        <w:pStyle w:val="FirstParagraph"/>
      </w:pPr>
      <w:r>
        <w:rPr>
          <w:i/>
          <w:iCs/>
        </w:rPr>
        <w:t xml:space="preserve">Guidance: The exception process exists to prevent Shadow AI, not to enable it. If exception requests become frequent, the standard approval workflow may need to be streamlined to reduce friction.</w:t>
      </w:r>
    </w:p>
    <w:p>
      <w:r>
        <w:pict>
          <v:rect style="width:0;height:1.5pt" o:hralign="center" o:hrstd="t" o:hr="t"/>
        </w:pict>
      </w:r>
    </w:p>
    <w:bookmarkEnd w:id="30"/>
    <w:bookmarkEnd w:id="31"/>
    <w:bookmarkStart w:id="39" w:name="data-lifecycle-management-for-ai"/>
    <w:p>
      <w:pPr>
        <w:pStyle w:val="Heading2"/>
      </w:pPr>
      <w:r>
        <w:t xml:space="preserve">6. Data Lifecycle Management for AI</w:t>
      </w:r>
    </w:p>
    <w:bookmarkStart w:id="32" w:name="collection"/>
    <w:p>
      <w:pPr>
        <w:pStyle w:val="Heading3"/>
      </w:pPr>
      <w:r>
        <w:t xml:space="preserve">6.1 Collection</w:t>
      </w:r>
    </w:p>
    <w:p>
      <w:pPr>
        <w:pStyle w:val="FirstParagraph"/>
      </w:pPr>
      <w:r>
        <w:t xml:space="preserve">Data collected for AI purposes must:</w:t>
      </w:r>
      <w:r>
        <w:t xml:space="preserve"> </w:t>
      </w:r>
      <w:r>
        <w:t xml:space="preserve">- Have a documented lawful basis for processing under applicable data protection law</w:t>
      </w:r>
      <w:r>
        <w:t xml:space="preserve"> </w:t>
      </w:r>
      <w:r>
        <w:t xml:space="preserve">- Match the purpose disclosed to the data subject at collection</w:t>
      </w:r>
      <w:r>
        <w:t xml:space="preserve"> </w:t>
      </w:r>
      <w:r>
        <w:t xml:space="preserve">- Be minimized to what is necessary for the AI use case (data minimization principle)</w:t>
      </w:r>
    </w:p>
    <w:p>
      <w:pPr>
        <w:pStyle w:val="BodyText"/>
      </w:pPr>
      <w:r>
        <w:t xml:space="preserve">Collecting data specifically to train an AI model requires additional consideration. Consent obtained for one purpose may not extend to AI training. Consult the Legal / Compliance Liaison before repurposing data for AI training.</w:t>
      </w:r>
    </w:p>
    <w:bookmarkEnd w:id="32"/>
    <w:bookmarkStart w:id="33" w:name="storage"/>
    <w:p>
      <w:pPr>
        <w:pStyle w:val="Heading3"/>
      </w:pPr>
      <w:r>
        <w:t xml:space="preserve">6.2 Storage</w:t>
      </w:r>
    </w:p>
    <w:p>
      <w:pPr>
        <w:pStyle w:val="FirstParagraph"/>
      </w:pPr>
      <w:r>
        <w:t xml:space="preserve">Data used with AI systems must be stored:</w:t>
      </w:r>
      <w:r>
        <w:t xml:space="preserve"> </w:t>
      </w:r>
      <w:r>
        <w:t xml:space="preserve">- In systems with access controls appropriate to the data tier</w:t>
      </w:r>
      <w:r>
        <w:t xml:space="preserve"> </w:t>
      </w:r>
      <w:r>
        <w:t xml:space="preserve">- With encryption at rest for Tier 3 and above</w:t>
      </w:r>
      <w:r>
        <w:t xml:space="preserve"> </w:t>
      </w:r>
      <w:r>
        <w:t xml:space="preserve">- In geographic regions consistent with data residency commitments to customers</w:t>
      </w:r>
      <w:r>
        <w:t xml:space="preserve"> </w:t>
      </w:r>
      <w:r>
        <w:t xml:space="preserve">- With defined retention periods (see Section 6.4)</w:t>
      </w:r>
    </w:p>
    <w:p>
      <w:pPr>
        <w:pStyle w:val="BodyText"/>
      </w:pPr>
      <w:r>
        <w:t xml:space="preserve">Prompts and completions may be logged for operational and compliance purposes; see AI Monitoring &amp; Logging Policy for specific requirements.</w:t>
      </w:r>
    </w:p>
    <w:bookmarkEnd w:id="33"/>
    <w:bookmarkStart w:id="34" w:name="use"/>
    <w:p>
      <w:pPr>
        <w:pStyle w:val="Heading3"/>
      </w:pPr>
      <w:r>
        <w:t xml:space="preserve">6.3 Use</w:t>
      </w:r>
    </w:p>
    <w:p>
      <w:pPr>
        <w:pStyle w:val="FirstParagraph"/>
      </w:pPr>
      <w:r>
        <w:t xml:space="preserve">Data may be used with AI systems only for the purposes for which it was collected (or a compatible purpose as defined by applicable law). Common examples:</w:t>
      </w:r>
    </w:p>
    <w:p>
      <w:pPr>
        <w:pStyle w:val="Compact"/>
        <w:numPr>
          <w:ilvl w:val="0"/>
          <w:numId w:val="1013"/>
        </w:numPr>
      </w:pPr>
      <w:r>
        <w:t xml:space="preserve">Customer support data → AI-assisted response drafting (compatible)</w:t>
      </w:r>
    </w:p>
    <w:p>
      <w:pPr>
        <w:pStyle w:val="Compact"/>
        <w:numPr>
          <w:ilvl w:val="0"/>
          <w:numId w:val="1013"/>
        </w:numPr>
      </w:pPr>
      <w:r>
        <w:t xml:space="preserve">Customer support data → Training a public-facing chatbot (may require additional consent)</w:t>
      </w:r>
    </w:p>
    <w:p>
      <w:pPr>
        <w:pStyle w:val="Compact"/>
        <w:numPr>
          <w:ilvl w:val="0"/>
          <w:numId w:val="1013"/>
        </w:numPr>
      </w:pPr>
      <w:r>
        <w:t xml:space="preserve">Product usage data → Internal analytics with AI (typically compatible)</w:t>
      </w:r>
    </w:p>
    <w:p>
      <w:pPr>
        <w:pStyle w:val="Compact"/>
        <w:numPr>
          <w:ilvl w:val="0"/>
          <w:numId w:val="1013"/>
        </w:numPr>
      </w:pPr>
      <w:r>
        <w:t xml:space="preserve">Product usage data → Sold as a dataset to a third party (typically requires new consent)</w:t>
      </w:r>
    </w:p>
    <w:p>
      <w:pPr>
        <w:pStyle w:val="FirstParagraph"/>
      </w:pPr>
      <w:r>
        <w:t xml:space="preserve">When in doubt, treat AI use as a new processing purpose requiring fresh legal basis analysis.</w:t>
      </w:r>
    </w:p>
    <w:bookmarkEnd w:id="34"/>
    <w:bookmarkStart w:id="35" w:name="retention"/>
    <w:p>
      <w:pPr>
        <w:pStyle w:val="Heading3"/>
      </w:pPr>
      <w:r>
        <w:t xml:space="preserve">6.4 Retention</w:t>
      </w:r>
    </w:p>
    <w:p>
      <w:pPr>
        <w:pStyle w:val="FirstParagraph"/>
      </w:pPr>
      <w:r>
        <w:t xml:space="preserve">Retention periods for AI-related data:</w:t>
      </w:r>
    </w:p>
    <w:tbl>
      <w:tblPr>
        <w:tblStyle w:val="Table"/>
        <w:tblW w:type="pct" w:w="5000"/>
        <w:tblLayout w:type="fixed"/>
        <w:tblLook w:firstRow="1" w:lastRow="0" w:firstColumn="0" w:lastColumn="0" w:noHBand="0" w:noVBand="0" w:val="0020"/>
      </w:tblPr>
      <w:tblGrid>
        <w:gridCol w:w="2354"/>
        <w:gridCol w:w="4067"/>
        <w:gridCol w:w="1498"/>
      </w:tblGrid>
      <w:tr>
        <w:trPr>
          <w:tblHeader w:val="on"/>
        </w:trPr>
        <w:tc>
          <w:tcPr/>
          <w:p>
            <w:pPr>
              <w:pStyle w:val="Compact"/>
            </w:pPr>
            <w:r>
              <w:t xml:space="preserve">Data Type</w:t>
            </w:r>
          </w:p>
        </w:tc>
        <w:tc>
          <w:tcPr/>
          <w:p>
            <w:pPr>
              <w:pStyle w:val="Compact"/>
            </w:pPr>
            <w:r>
              <w:t xml:space="preserve">Default Retention</w:t>
            </w:r>
          </w:p>
        </w:tc>
        <w:tc>
          <w:tcPr/>
          <w:p>
            <w:pPr>
              <w:pStyle w:val="Compact"/>
            </w:pPr>
            <w:r>
              <w:t xml:space="preserve">Notes</w:t>
            </w:r>
          </w:p>
        </w:tc>
      </w:tr>
      <w:tr>
        <w:tc>
          <w:tcPr/>
          <w:p>
            <w:pPr>
              <w:pStyle w:val="Compact"/>
            </w:pPr>
            <w:r>
              <w:t xml:space="preserve">Prompts and completions (operational)</w:t>
            </w:r>
          </w:p>
        </w:tc>
        <w:tc>
          <w:tcPr/>
          <w:p>
            <w:pPr>
              <w:pStyle w:val="Compact"/>
            </w:pPr>
            <w:r>
              <w:t xml:space="preserve">90 days</w:t>
            </w:r>
          </w:p>
        </w:tc>
        <w:tc>
          <w:tcPr/>
          <w:p>
            <w:pPr>
              <w:pStyle w:val="Compact"/>
            </w:pPr>
            <w:r>
              <w:t xml:space="preserve">Sufficient for typical debugging, security investigation, and quality review windows; may be extended for active investigation</w:t>
            </w:r>
          </w:p>
        </w:tc>
      </w:tr>
      <w:tr>
        <w:tc>
          <w:tcPr/>
          <w:p>
            <w:pPr>
              <w:pStyle w:val="Compact"/>
            </w:pPr>
            <w:r>
              <w:t xml:space="preserve">Prompts and completions (aggregated metrics)</w:t>
            </w:r>
          </w:p>
        </w:tc>
        <w:tc>
          <w:tcPr/>
          <w:p>
            <w:pPr>
              <w:pStyle w:val="Compact"/>
            </w:pPr>
            <w:r>
              <w:t xml:space="preserve">2 years</w:t>
            </w:r>
          </w:p>
        </w:tc>
        <w:tc>
          <w:tcPr/>
          <w:p>
            <w:pPr>
              <w:pStyle w:val="Compact"/>
            </w:pPr>
            <w:r>
              <w:t xml:space="preserve">PII must be removed</w:t>
            </w:r>
          </w:p>
        </w:tc>
      </w:tr>
      <w:tr>
        <w:tc>
          <w:tcPr/>
          <w:p>
            <w:pPr>
              <w:pStyle w:val="Compact"/>
            </w:pPr>
            <w:r>
              <w:t xml:space="preserve">Training datasets</w:t>
            </w:r>
          </w:p>
        </w:tc>
        <w:tc>
          <w:tcPr/>
          <w:p>
            <w:pPr>
              <w:pStyle w:val="Compact"/>
            </w:pPr>
            <w:r>
              <w:t xml:space="preserve">Duration of model lifecycle + 1 year</w:t>
            </w:r>
          </w:p>
        </w:tc>
        <w:tc>
          <w:tcPr/>
          <w:p>
            <w:pPr>
              <w:pStyle w:val="Compact"/>
            </w:pPr>
            <w:r>
              <w:t xml:space="preserve">For reproducibility and audit</w:t>
            </w:r>
          </w:p>
        </w:tc>
      </w:tr>
      <w:tr>
        <w:tc>
          <w:tcPr/>
          <w:p>
            <w:pPr>
              <w:pStyle w:val="Compact"/>
            </w:pPr>
            <w:r>
              <w:t xml:space="preserve">Fine-tuned model weights</w:t>
            </w:r>
          </w:p>
        </w:tc>
        <w:tc>
          <w:tcPr/>
          <w:p>
            <w:pPr>
              <w:pStyle w:val="Compact"/>
            </w:pPr>
            <w:r>
              <w:t xml:space="preserve">Duration of model use + 90 days</w:t>
            </w:r>
          </w:p>
        </w:tc>
        <w:tc>
          <w:tcPr/>
          <w:p>
            <w:pPr>
              <w:pStyle w:val="Compact"/>
            </w:pPr>
            <w:r>
              <w:t xml:space="preserve">Model itself may embed training data</w:t>
            </w:r>
          </w:p>
        </w:tc>
      </w:tr>
      <w:tr>
        <w:tc>
          <w:tcPr/>
          <w:p>
            <w:pPr>
              <w:pStyle w:val="Compact"/>
            </w:pPr>
            <w:r>
              <w:t xml:space="preserve">Data subject request records</w:t>
            </w:r>
          </w:p>
        </w:tc>
        <w:tc>
          <w:tcPr/>
          <w:p>
            <w:pPr>
              <w:pStyle w:val="Compact"/>
            </w:pPr>
            <w:r>
              <w:t xml:space="preserve">3 years from response</w:t>
            </w:r>
          </w:p>
        </w:tc>
        <w:tc>
          <w:tcPr/>
          <w:p>
            <w:pPr>
              <w:pStyle w:val="Compact"/>
            </w:pPr>
            <w:r>
              <w:t xml:space="preserve">Compliance evidence</w:t>
            </w:r>
          </w:p>
        </w:tc>
      </w:tr>
    </w:tbl>
    <w:p>
      <w:pPr>
        <w:pStyle w:val="BodyText"/>
      </w:pPr>
      <w:r>
        <w:rPr>
          <w:i/>
          <w:iCs/>
        </w:rPr>
        <w:t xml:space="preserve">Guidance: Adjust retention periods to align with [COMPANY NAME]’s broader data retention policy and any applicable legal requirements. Sector-specific rules may require longer or shorter retention.</w:t>
      </w:r>
    </w:p>
    <w:bookmarkEnd w:id="35"/>
    <w:bookmarkStart w:id="36" w:name="deletion"/>
    <w:p>
      <w:pPr>
        <w:pStyle w:val="Heading3"/>
      </w:pPr>
      <w:r>
        <w:t xml:space="preserve">6.5 Deletion</w:t>
      </w:r>
    </w:p>
    <w:p>
      <w:pPr>
        <w:pStyle w:val="FirstParagraph"/>
      </w:pPr>
      <w:r>
        <w:t xml:space="preserve">When data must be deleted (retention expiry, data subject request, contractual obligation):</w:t>
      </w:r>
    </w:p>
    <w:p>
      <w:pPr>
        <w:pStyle w:val="Compact"/>
        <w:numPr>
          <w:ilvl w:val="0"/>
          <w:numId w:val="1014"/>
        </w:numPr>
      </w:pPr>
      <w:r>
        <w:t xml:space="preserve">Data in operational systems must be deleted or securely anonymized</w:t>
      </w:r>
    </w:p>
    <w:p>
      <w:pPr>
        <w:pStyle w:val="Compact"/>
        <w:numPr>
          <w:ilvl w:val="0"/>
          <w:numId w:val="1014"/>
        </w:numPr>
      </w:pPr>
      <w:r>
        <w:t xml:space="preserve">Data in backups is deleted on the normal backup rotation schedule</w:t>
      </w:r>
    </w:p>
    <w:p>
      <w:pPr>
        <w:pStyle w:val="Compact"/>
        <w:numPr>
          <w:ilvl w:val="0"/>
          <w:numId w:val="1014"/>
        </w:numPr>
      </w:pPr>
      <w:r>
        <w:t xml:space="preserve">Training data is deleted from active storage; note that model weights trained on the data cannot be surgically edited</w:t>
      </w:r>
    </w:p>
    <w:p>
      <w:pPr>
        <w:pStyle w:val="Compact"/>
        <w:numPr>
          <w:ilvl w:val="0"/>
          <w:numId w:val="1014"/>
        </w:numPr>
      </w:pPr>
      <w:r>
        <w:t xml:space="preserve">Data at third-party AI providers must be deleted through provider-specific mechanisms (see provider documentation)</w:t>
      </w:r>
    </w:p>
    <w:p>
      <w:pPr>
        <w:pStyle w:val="FirstParagraph"/>
      </w:pPr>
      <w:r>
        <w:t xml:space="preserve">If data has influenced a deployed model (through fine-tuning or continual learning), document the deletion request and evaluate response options. Model weights trained on customer data typically cannot be surgically edited using current mainstream techniques; targeted</w:t>
      </w:r>
      <w:r>
        <w:t xml:space="preserve"> </w:t>
      </w:r>
      <w:r>
        <w:t xml:space="preserve">“machine unlearning”</w:t>
      </w:r>
      <w:r>
        <w:t xml:space="preserve"> </w:t>
      </w:r>
      <w:r>
        <w:t xml:space="preserve">is an active research area but is not standard in production systems. Response options include: retraining without the affected data, applying output filtering, documenting the limitation transparently to the data subject, and consulting counsel — regulatory interpretation of deletion obligations for model-embedded data is evolving.</w:t>
      </w:r>
    </w:p>
    <w:bookmarkEnd w:id="36"/>
    <w:bookmarkStart w:id="37" w:name="cross-border-transfer"/>
    <w:p>
      <w:pPr>
        <w:pStyle w:val="Heading3"/>
      </w:pPr>
      <w:r>
        <w:t xml:space="preserve">6.6 Cross-Border Transfer</w:t>
      </w:r>
    </w:p>
    <w:p>
      <w:pPr>
        <w:pStyle w:val="FirstParagraph"/>
      </w:pPr>
      <w:r>
        <w:t xml:space="preserve">Data transferred to AI providers or model infrastructure in different jurisdictions must comply with applicable transfer requirements:</w:t>
      </w:r>
    </w:p>
    <w:p>
      <w:pPr>
        <w:pStyle w:val="Compact"/>
        <w:numPr>
          <w:ilvl w:val="0"/>
          <w:numId w:val="1015"/>
        </w:numPr>
      </w:pPr>
      <w:r>
        <w:t xml:space="preserve">EU/UK data transferred to the United States requires one of: Standard Contractual Clauses (SCCs), certification under the EU-US Data Privacy Framework (DPF), an adequacy decision, or another approved transfer mechanism. Verify which mechanism the AI provider relies on and confirm it applies to the specific data flows involved.</w:t>
      </w:r>
    </w:p>
    <w:p>
      <w:pPr>
        <w:pStyle w:val="Compact"/>
        <w:numPr>
          <w:ilvl w:val="0"/>
          <w:numId w:val="1015"/>
        </w:numPr>
      </w:pPr>
      <w:r>
        <w:t xml:space="preserve">UK data transfers may require additional consideration under the UK’s post-Brexit data protection regime (UK GDPR + Data Protection Act 2018)</w:t>
      </w:r>
    </w:p>
    <w:p>
      <w:pPr>
        <w:pStyle w:val="Compact"/>
        <w:numPr>
          <w:ilvl w:val="0"/>
          <w:numId w:val="1015"/>
        </w:numPr>
      </w:pPr>
      <w:r>
        <w:t xml:space="preserve">Data residency commitments made to customers must be honored regardless of AI provider infrastructure</w:t>
      </w:r>
    </w:p>
    <w:p>
      <w:pPr>
        <w:pStyle w:val="Compact"/>
        <w:numPr>
          <w:ilvl w:val="0"/>
          <w:numId w:val="1015"/>
        </w:numPr>
      </w:pPr>
      <w:r>
        <w:t xml:space="preserve">Some jurisdictions restrict cross-border transfer of certain data categories (e.g., China’s PIPL, Russia’s data localization law)</w:t>
      </w:r>
    </w:p>
    <w:p>
      <w:pPr>
        <w:pStyle w:val="FirstParagraph"/>
      </w:pPr>
      <w:r>
        <w:t xml:space="preserve">Consult the Legal / Compliance Liaison before establishing new AI processing arrangements with providers outside the United States, and reassess when transfer frameworks change (they have changed materially every few years since 2015).</w:t>
      </w:r>
    </w:p>
    <w:bookmarkEnd w:id="37"/>
    <w:bookmarkStart w:id="38" w:name="data-lineage"/>
    <w:p>
      <w:pPr>
        <w:pStyle w:val="Heading3"/>
      </w:pPr>
      <w:r>
        <w:t xml:space="preserve">6.7 Data Lineage</w:t>
      </w:r>
    </w:p>
    <w:p>
      <w:pPr>
        <w:pStyle w:val="FirstParagraph"/>
      </w:pPr>
      <w:r>
        <w:t xml:space="preserve">[COMPANY NAME] maintains data lineage records for:</w:t>
      </w:r>
    </w:p>
    <w:p>
      <w:pPr>
        <w:pStyle w:val="Compact"/>
        <w:numPr>
          <w:ilvl w:val="0"/>
          <w:numId w:val="1016"/>
        </w:numPr>
      </w:pPr>
      <w:r>
        <w:t xml:space="preserve">Datasets used to train or fine-tune any internally developed model</w:t>
      </w:r>
    </w:p>
    <w:p>
      <w:pPr>
        <w:pStyle w:val="Compact"/>
        <w:numPr>
          <w:ilvl w:val="0"/>
          <w:numId w:val="1016"/>
        </w:numPr>
      </w:pPr>
      <w:r>
        <w:t xml:space="preserve">Data flows between systems that involve AI processing</w:t>
      </w:r>
    </w:p>
    <w:p>
      <w:pPr>
        <w:pStyle w:val="Compact"/>
        <w:numPr>
          <w:ilvl w:val="0"/>
          <w:numId w:val="1016"/>
        </w:numPr>
      </w:pPr>
      <w:r>
        <w:t xml:space="preserve">Provenance of training data (see AI Training Data Provenance Log)</w:t>
      </w:r>
    </w:p>
    <w:p>
      <w:pPr>
        <w:pStyle w:val="FirstParagraph"/>
      </w:pPr>
      <w:r>
        <w:t xml:space="preserve">Lineage records must be sufficient to answer, for any deployed model: what data trained it, when, from what sources, and under what legal basis.</w:t>
      </w:r>
    </w:p>
    <w:p>
      <w:r>
        <w:pict>
          <v:rect style="width:0;height:1.5pt" o:hralign="center" o:hrstd="t" o:hr="t"/>
        </w:pict>
      </w:r>
    </w:p>
    <w:bookmarkEnd w:id="38"/>
    <w:bookmarkEnd w:id="39"/>
    <w:bookmarkStart w:id="44" w:name="training-data-governance"/>
    <w:p>
      <w:pPr>
        <w:pStyle w:val="Heading2"/>
      </w:pPr>
      <w:r>
        <w:t xml:space="preserve">7. Training Data Governance</w:t>
      </w:r>
    </w:p>
    <w:p>
      <w:pPr>
        <w:pStyle w:val="FirstParagraph"/>
      </w:pPr>
      <w:r>
        <w:t xml:space="preserve">Data used to train or fine-tune AI models is subject to enhanced governance because it becomes embedded in the resulting model.</w:t>
      </w:r>
    </w:p>
    <w:bookmarkStart w:id="40" w:name="permitted-training-data-sources"/>
    <w:p>
      <w:pPr>
        <w:pStyle w:val="Heading3"/>
      </w:pPr>
      <w:r>
        <w:t xml:space="preserve">7.1 Permitted Training Data Sources</w:t>
      </w:r>
    </w:p>
    <w:p>
      <w:pPr>
        <w:pStyle w:val="Compact"/>
        <w:numPr>
          <w:ilvl w:val="0"/>
          <w:numId w:val="1017"/>
        </w:numPr>
      </w:pPr>
      <w:r>
        <w:rPr>
          <w:b/>
          <w:bCs/>
        </w:rPr>
        <w:t xml:space="preserve">First-party data</w:t>
      </w:r>
      <w:r>
        <w:t xml:space="preserve"> </w:t>
      </w:r>
      <w:r>
        <w:t xml:space="preserve">created or collected by [COMPANY NAME] with appropriate legal basis for AI training use</w:t>
      </w:r>
    </w:p>
    <w:p>
      <w:pPr>
        <w:pStyle w:val="Compact"/>
        <w:numPr>
          <w:ilvl w:val="0"/>
          <w:numId w:val="1017"/>
        </w:numPr>
      </w:pPr>
      <w:r>
        <w:rPr>
          <w:b/>
          <w:bCs/>
        </w:rPr>
        <w:t xml:space="preserve">Licensed data</w:t>
      </w:r>
      <w:r>
        <w:t xml:space="preserve"> </w:t>
      </w:r>
      <w:r>
        <w:t xml:space="preserve">from vendors under terms that explicitly permit AI training</w:t>
      </w:r>
    </w:p>
    <w:p>
      <w:pPr>
        <w:pStyle w:val="Compact"/>
        <w:numPr>
          <w:ilvl w:val="0"/>
          <w:numId w:val="1017"/>
        </w:numPr>
      </w:pPr>
      <w:r>
        <w:rPr>
          <w:b/>
          <w:bCs/>
        </w:rPr>
        <w:t xml:space="preserve">Public data</w:t>
      </w:r>
      <w:r>
        <w:t xml:space="preserve"> </w:t>
      </w:r>
      <w:r>
        <w:t xml:space="preserve">obtained from sources that permit AI training use (verify licensing terms; many</w:t>
      </w:r>
      <w:r>
        <w:t xml:space="preserve"> </w:t>
      </w:r>
      <w:r>
        <w:t xml:space="preserve">“public”</w:t>
      </w:r>
      <w:r>
        <w:t xml:space="preserve"> </w:t>
      </w:r>
      <w:r>
        <w:t xml:space="preserve">datasets have restrictions)</w:t>
      </w:r>
    </w:p>
    <w:p>
      <w:pPr>
        <w:pStyle w:val="Compact"/>
        <w:numPr>
          <w:ilvl w:val="0"/>
          <w:numId w:val="1017"/>
        </w:numPr>
      </w:pPr>
      <w:r>
        <w:rPr>
          <w:b/>
          <w:bCs/>
        </w:rPr>
        <w:t xml:space="preserve">Synthetic data</w:t>
      </w:r>
      <w:r>
        <w:t xml:space="preserve"> </w:t>
      </w:r>
      <w:r>
        <w:t xml:space="preserve">generated by AI systems, provided the generating process is documented</w:t>
      </w:r>
    </w:p>
    <w:bookmarkEnd w:id="40"/>
    <w:bookmarkStart w:id="41" w:name="prohibited-training-data-sources"/>
    <w:p>
      <w:pPr>
        <w:pStyle w:val="Heading3"/>
      </w:pPr>
      <w:r>
        <w:t xml:space="preserve">7.2 Prohibited Training Data Sources</w:t>
      </w:r>
    </w:p>
    <w:p>
      <w:pPr>
        <w:pStyle w:val="Compact"/>
        <w:numPr>
          <w:ilvl w:val="0"/>
          <w:numId w:val="1018"/>
        </w:numPr>
      </w:pPr>
      <w:r>
        <w:t xml:space="preserve">Data scraped from websites without permission or where terms of service prohibit AI training use</w:t>
      </w:r>
    </w:p>
    <w:p>
      <w:pPr>
        <w:pStyle w:val="Compact"/>
        <w:numPr>
          <w:ilvl w:val="0"/>
          <w:numId w:val="1018"/>
        </w:numPr>
      </w:pPr>
      <w:r>
        <w:t xml:space="preserve">Competitor data obtained through unauthorized means</w:t>
      </w:r>
    </w:p>
    <w:p>
      <w:pPr>
        <w:pStyle w:val="Compact"/>
        <w:numPr>
          <w:ilvl w:val="0"/>
          <w:numId w:val="1018"/>
        </w:numPr>
      </w:pPr>
      <w:r>
        <w:t xml:space="preserve">Data from third parties without documented licensing rights</w:t>
      </w:r>
    </w:p>
    <w:p>
      <w:pPr>
        <w:pStyle w:val="Compact"/>
        <w:numPr>
          <w:ilvl w:val="0"/>
          <w:numId w:val="1018"/>
        </w:numPr>
      </w:pPr>
      <w:r>
        <w:t xml:space="preserve">Personal data of individuals who have not consented to AI training use</w:t>
      </w:r>
    </w:p>
    <w:p>
      <w:pPr>
        <w:pStyle w:val="Compact"/>
        <w:numPr>
          <w:ilvl w:val="0"/>
          <w:numId w:val="1018"/>
        </w:numPr>
      </w:pPr>
      <w:r>
        <w:t xml:space="preserve">Copyrighted content without a license permitting AI training</w:t>
      </w:r>
    </w:p>
    <w:p>
      <w:pPr>
        <w:pStyle w:val="FirstParagraph"/>
      </w:pPr>
      <w:r>
        <w:rPr>
          <w:i/>
          <w:iCs/>
        </w:rPr>
        <w:t xml:space="preserve">Guidance: Copyright law and terms-of-service enforcement in AI training contexts are subject to active litigation (including cases involving major foundation model providers). Legal positions are evolving faster than most policies can update. Consult counsel on specific training data acquisition decisions, particularly for public-web data where</w:t>
      </w:r>
      <w:r>
        <w:rPr>
          <w:i/>
          <w:iCs/>
        </w:rPr>
        <w:t xml:space="preserve"> </w:t>
      </w:r>
      <w:r>
        <w:rPr>
          <w:i/>
          <w:iCs/>
        </w:rPr>
        <w:t xml:space="preserve">“fair use”</w:t>
      </w:r>
      <w:r>
        <w:rPr>
          <w:i/>
          <w:iCs/>
        </w:rPr>
        <w:t xml:space="preserve"> </w:t>
      </w:r>
      <w:r>
        <w:rPr>
          <w:i/>
          <w:iCs/>
        </w:rPr>
        <w:t xml:space="preserve">arguments and TOS enforceability remain contested. When in doubt, obtain explicit licensing.</w:t>
      </w:r>
    </w:p>
    <w:bookmarkEnd w:id="41"/>
    <w:bookmarkStart w:id="42" w:name="documentation-requirements"/>
    <w:p>
      <w:pPr>
        <w:pStyle w:val="Heading3"/>
      </w:pPr>
      <w:r>
        <w:t xml:space="preserve">7.3 Documentation Requirements</w:t>
      </w:r>
    </w:p>
    <w:p>
      <w:pPr>
        <w:pStyle w:val="FirstParagraph"/>
      </w:pPr>
      <w:r>
        <w:t xml:space="preserve">For each training dataset used, document:</w:t>
      </w:r>
    </w:p>
    <w:p>
      <w:pPr>
        <w:pStyle w:val="Compact"/>
        <w:numPr>
          <w:ilvl w:val="0"/>
          <w:numId w:val="1019"/>
        </w:numPr>
      </w:pPr>
      <w:r>
        <w:t xml:space="preserve">Data source and acquisition date</w:t>
      </w:r>
    </w:p>
    <w:p>
      <w:pPr>
        <w:pStyle w:val="Compact"/>
        <w:numPr>
          <w:ilvl w:val="0"/>
          <w:numId w:val="1019"/>
        </w:numPr>
      </w:pPr>
      <w:r>
        <w:t xml:space="preserve">License terms and their scope</w:t>
      </w:r>
    </w:p>
    <w:p>
      <w:pPr>
        <w:pStyle w:val="Compact"/>
        <w:numPr>
          <w:ilvl w:val="0"/>
          <w:numId w:val="1019"/>
        </w:numPr>
      </w:pPr>
      <w:r>
        <w:t xml:space="preserve">Data categories included</w:t>
      </w:r>
    </w:p>
    <w:p>
      <w:pPr>
        <w:pStyle w:val="Compact"/>
        <w:numPr>
          <w:ilvl w:val="0"/>
          <w:numId w:val="1019"/>
        </w:numPr>
      </w:pPr>
      <w:r>
        <w:t xml:space="preserve">Volume and time period covered</w:t>
      </w:r>
    </w:p>
    <w:p>
      <w:pPr>
        <w:pStyle w:val="Compact"/>
        <w:numPr>
          <w:ilvl w:val="0"/>
          <w:numId w:val="1019"/>
        </w:numPr>
      </w:pPr>
      <w:r>
        <w:t xml:space="preserve">Preprocessing and cleaning steps applied</w:t>
      </w:r>
    </w:p>
    <w:p>
      <w:pPr>
        <w:pStyle w:val="Compact"/>
        <w:numPr>
          <w:ilvl w:val="0"/>
          <w:numId w:val="1019"/>
        </w:numPr>
      </w:pPr>
      <w:r>
        <w:t xml:space="preserve">Known limitations, biases, or gaps</w:t>
      </w:r>
    </w:p>
    <w:p>
      <w:pPr>
        <w:pStyle w:val="Compact"/>
        <w:numPr>
          <w:ilvl w:val="0"/>
          <w:numId w:val="1019"/>
        </w:numPr>
      </w:pPr>
      <w:r>
        <w:t xml:space="preserve">Legal basis for training use</w:t>
      </w:r>
    </w:p>
    <w:p>
      <w:pPr>
        <w:pStyle w:val="FirstParagraph"/>
      </w:pPr>
      <w:r>
        <w:t xml:space="preserve">See AI Training Data Provenance Log for the tracking format.</w:t>
      </w:r>
    </w:p>
    <w:bookmarkEnd w:id="42"/>
    <w:bookmarkStart w:id="43" w:name="quality-and-bias-review"/>
    <w:p>
      <w:pPr>
        <w:pStyle w:val="Heading3"/>
      </w:pPr>
      <w:r>
        <w:t xml:space="preserve">7.4 Quality and Bias Review</w:t>
      </w:r>
    </w:p>
    <w:p>
      <w:pPr>
        <w:pStyle w:val="FirstParagraph"/>
      </w:pPr>
      <w:r>
        <w:t xml:space="preserve">Before training with a dataset:</w:t>
      </w:r>
    </w:p>
    <w:p>
      <w:pPr>
        <w:pStyle w:val="Compact"/>
        <w:numPr>
          <w:ilvl w:val="0"/>
          <w:numId w:val="1020"/>
        </w:numPr>
      </w:pPr>
      <w:r>
        <w:t xml:space="preserve">Review for known biases in composition or labeling (representation gaps, historical bias, measurement bias, aggregation effects)</w:t>
      </w:r>
    </w:p>
    <w:p>
      <w:pPr>
        <w:pStyle w:val="Compact"/>
        <w:numPr>
          <w:ilvl w:val="0"/>
          <w:numId w:val="1020"/>
        </w:numPr>
      </w:pPr>
      <w:r>
        <w:t xml:space="preserve">Assess representativeness for the intended use case (does the training data reflect the population the model will serve?)</w:t>
      </w:r>
    </w:p>
    <w:p>
      <w:pPr>
        <w:pStyle w:val="Compact"/>
        <w:numPr>
          <w:ilvl w:val="0"/>
          <w:numId w:val="1020"/>
        </w:numPr>
      </w:pPr>
      <w:r>
        <w:t xml:space="preserve">Document sources of potential bias in a Data Card accompanying the dataset (see AI Training Data Provenance Log)</w:t>
      </w:r>
    </w:p>
    <w:p>
      <w:pPr>
        <w:pStyle w:val="Compact"/>
        <w:numPr>
          <w:ilvl w:val="0"/>
          <w:numId w:val="1020"/>
        </w:numPr>
      </w:pPr>
      <w:r>
        <w:t xml:space="preserve">Document any known limitations that consumers of the resulting model should understand</w:t>
      </w:r>
    </w:p>
    <w:p>
      <w:pPr>
        <w:pStyle w:val="Compact"/>
        <w:numPr>
          <w:ilvl w:val="0"/>
          <w:numId w:val="1020"/>
        </w:numPr>
      </w:pPr>
      <w:r>
        <w:t xml:space="preserve">For models used in higher-risk contexts (customer-facing decisions, safety-critical applications, protected class implications), conduct formal bias testing per the AI Bias &amp; Fairness Testing Framework before deployment</w:t>
      </w:r>
    </w:p>
    <w:p>
      <w:pPr>
        <w:pStyle w:val="FirstParagraph"/>
      </w:pPr>
      <w:r>
        <w:t xml:space="preserve">At minimum, every dataset used for training or fine-tuning must have documented bias review — even if the conclusion is</w:t>
      </w:r>
      <w:r>
        <w:t xml:space="preserve"> </w:t>
      </w:r>
      <w:r>
        <w:t xml:space="preserve">“no significant bias concerns identified.”</w:t>
      </w:r>
      <w:r>
        <w:t xml:space="preserve"> </w:t>
      </w:r>
      <w:r>
        <w:t xml:space="preserve">Absence of review is not equivalent to absence of bias.</w:t>
      </w:r>
    </w:p>
    <w:p>
      <w:pPr>
        <w:pStyle w:val="BodyText"/>
      </w:pPr>
      <w:r>
        <w:rPr>
          <w:i/>
          <w:iCs/>
        </w:rPr>
        <w:t xml:space="preserve">Guidance: For companies not yet operating at scale where formal bias testing is feasible, the AI Bias &amp; Fairness Testing Framework provides a tiered approach. Baseline documentation reviews are lightweight and should be adopted immediately; deeper statistical testing scales with risk and use case.</w:t>
      </w:r>
    </w:p>
    <w:p>
      <w:r>
        <w:pict>
          <v:rect style="width:0;height:1.5pt" o:hralign="center" o:hrstd="t" o:hr="t"/>
        </w:pict>
      </w:r>
    </w:p>
    <w:bookmarkEnd w:id="43"/>
    <w:bookmarkEnd w:id="44"/>
    <w:bookmarkStart w:id="48" w:name="third-party-ai-provider-management"/>
    <w:p>
      <w:pPr>
        <w:pStyle w:val="Heading2"/>
      </w:pPr>
      <w:r>
        <w:t xml:space="preserve">8. Third-Party AI Provider Management</w:t>
      </w:r>
    </w:p>
    <w:bookmarkStart w:id="45" w:name="contract-requirements"/>
    <w:p>
      <w:pPr>
        <w:pStyle w:val="Heading3"/>
      </w:pPr>
      <w:r>
        <w:t xml:space="preserve">8.1 Contract Requirements</w:t>
      </w:r>
    </w:p>
    <w:p>
      <w:pPr>
        <w:pStyle w:val="FirstParagraph"/>
      </w:pPr>
      <w:r>
        <w:t xml:space="preserve">Contracts with AI providers must include:</w:t>
      </w:r>
    </w:p>
    <w:p>
      <w:pPr>
        <w:pStyle w:val="Compact"/>
        <w:numPr>
          <w:ilvl w:val="0"/>
          <w:numId w:val="1021"/>
        </w:numPr>
      </w:pPr>
      <w:r>
        <w:t xml:space="preserve">Data processing terms specifying [COMPANY NAME]’s role (typically controller) and the provider’s role (typically processor)</w:t>
      </w:r>
    </w:p>
    <w:p>
      <w:pPr>
        <w:pStyle w:val="Compact"/>
        <w:numPr>
          <w:ilvl w:val="0"/>
          <w:numId w:val="1021"/>
        </w:numPr>
      </w:pPr>
      <w:r>
        <w:t xml:space="preserve">Explicit statements on whether [COMPANY NAME] data may be used to train the provider’s models (typically prohibited)</w:t>
      </w:r>
    </w:p>
    <w:p>
      <w:pPr>
        <w:pStyle w:val="Compact"/>
        <w:numPr>
          <w:ilvl w:val="0"/>
          <w:numId w:val="1021"/>
        </w:numPr>
      </w:pPr>
      <w:r>
        <w:t xml:space="preserve">Breach notification obligations (target: 72 hours)</w:t>
      </w:r>
    </w:p>
    <w:p>
      <w:pPr>
        <w:pStyle w:val="Compact"/>
        <w:numPr>
          <w:ilvl w:val="0"/>
          <w:numId w:val="1021"/>
        </w:numPr>
      </w:pPr>
      <w:r>
        <w:t xml:space="preserve">Sub-processor disclosure and change notification</w:t>
      </w:r>
    </w:p>
    <w:p>
      <w:pPr>
        <w:pStyle w:val="Compact"/>
        <w:numPr>
          <w:ilvl w:val="0"/>
          <w:numId w:val="1021"/>
        </w:numPr>
      </w:pPr>
      <w:r>
        <w:t xml:space="preserve">Audit rights (self-attestation, third-party audit reports, or direct audit as appropriate)</w:t>
      </w:r>
    </w:p>
    <w:p>
      <w:pPr>
        <w:pStyle w:val="Compact"/>
        <w:numPr>
          <w:ilvl w:val="0"/>
          <w:numId w:val="1021"/>
        </w:numPr>
      </w:pPr>
      <w:r>
        <w:t xml:space="preserve">Data return and deletion at contract termination</w:t>
      </w:r>
    </w:p>
    <w:p>
      <w:pPr>
        <w:pStyle w:val="Compact"/>
        <w:numPr>
          <w:ilvl w:val="0"/>
          <w:numId w:val="1021"/>
        </w:numPr>
      </w:pPr>
      <w:r>
        <w:t xml:space="preserve">Data location and residency commitments</w:t>
      </w:r>
    </w:p>
    <w:p>
      <w:pPr>
        <w:pStyle w:val="Compact"/>
        <w:numPr>
          <w:ilvl w:val="0"/>
          <w:numId w:val="1021"/>
        </w:numPr>
      </w:pPr>
      <w:r>
        <w:t xml:space="preserve">Model change notification (when the provider materially changes underlying models)</w:t>
      </w:r>
    </w:p>
    <w:p>
      <w:pPr>
        <w:pStyle w:val="Compact"/>
        <w:numPr>
          <w:ilvl w:val="0"/>
          <w:numId w:val="1021"/>
        </w:numPr>
      </w:pPr>
      <w:r>
        <w:t xml:space="preserve">Indemnification for provider-caused breaches or IP violations</w:t>
      </w:r>
    </w:p>
    <w:p>
      <w:pPr>
        <w:pStyle w:val="Compact"/>
        <w:numPr>
          <w:ilvl w:val="0"/>
          <w:numId w:val="1021"/>
        </w:numPr>
      </w:pPr>
      <w:r>
        <w:t xml:space="preserve">Insurance requirements appropriate to the data tier</w:t>
      </w:r>
    </w:p>
    <w:bookmarkEnd w:id="45"/>
    <w:bookmarkStart w:id="46" w:name="data-processing-addendums"/>
    <w:p>
      <w:pPr>
        <w:pStyle w:val="Heading3"/>
      </w:pPr>
      <w:r>
        <w:t xml:space="preserve">8.2 Data Processing Addendums</w:t>
      </w:r>
    </w:p>
    <w:p>
      <w:pPr>
        <w:pStyle w:val="FirstParagraph"/>
      </w:pPr>
      <w:r>
        <w:t xml:space="preserve">Every AI provider processing personal data must have a signed Data Processing Addendum (DPA) that:</w:t>
      </w:r>
    </w:p>
    <w:p>
      <w:pPr>
        <w:pStyle w:val="Compact"/>
        <w:numPr>
          <w:ilvl w:val="0"/>
          <w:numId w:val="1022"/>
        </w:numPr>
      </w:pPr>
      <w:r>
        <w:t xml:space="preserve">References applicable data protection laws (GDPR, CCPA, etc.)</w:t>
      </w:r>
    </w:p>
    <w:p>
      <w:pPr>
        <w:pStyle w:val="Compact"/>
        <w:numPr>
          <w:ilvl w:val="0"/>
          <w:numId w:val="1022"/>
        </w:numPr>
      </w:pPr>
      <w:r>
        <w:t xml:space="preserve">Includes Standard Contractual Clauses for cross-border transfers where required</w:t>
      </w:r>
    </w:p>
    <w:p>
      <w:pPr>
        <w:pStyle w:val="Compact"/>
        <w:numPr>
          <w:ilvl w:val="0"/>
          <w:numId w:val="1022"/>
        </w:numPr>
      </w:pPr>
      <w:r>
        <w:t xml:space="preserve">Specifies technical and organizational measures (TOMs)</w:t>
      </w:r>
    </w:p>
    <w:p>
      <w:pPr>
        <w:pStyle w:val="Compact"/>
        <w:numPr>
          <w:ilvl w:val="0"/>
          <w:numId w:val="1022"/>
        </w:numPr>
      </w:pPr>
      <w:r>
        <w:t xml:space="preserve">Documents the processor’s obligations under Article 28 GDPR (or equivalent)</w:t>
      </w:r>
    </w:p>
    <w:bookmarkEnd w:id="46"/>
    <w:bookmarkStart w:id="47" w:name="provider-baseline-maintenance"/>
    <w:p>
      <w:pPr>
        <w:pStyle w:val="Heading3"/>
      </w:pPr>
      <w:r>
        <w:t xml:space="preserve">8.3 Provider Baseline Maintenance</w:t>
      </w:r>
    </w:p>
    <w:p>
      <w:pPr>
        <w:pStyle w:val="FirstParagraph"/>
      </w:pPr>
      <w:r>
        <w:t xml:space="preserve">[COMPANY NAME] maintains a current baseline evaluation of each approved AI provider in the AI Systems Inventory (see AI Tool Inventory Policy). For each provider, the baseline captures:</w:t>
      </w:r>
    </w:p>
    <w:p>
      <w:pPr>
        <w:pStyle w:val="Compact"/>
        <w:numPr>
          <w:ilvl w:val="0"/>
          <w:numId w:val="1023"/>
        </w:numPr>
      </w:pPr>
      <w:r>
        <w:t xml:space="preserve">Current security certifications (SOC 2, ISO 27001, HIPAA eligibility, etc.)</w:t>
      </w:r>
    </w:p>
    <w:p>
      <w:pPr>
        <w:pStyle w:val="Compact"/>
        <w:numPr>
          <w:ilvl w:val="0"/>
          <w:numId w:val="1023"/>
        </w:numPr>
      </w:pPr>
      <w:r>
        <w:t xml:space="preserve">Whether the specific service tier used trains on customer data by default</w:t>
      </w:r>
    </w:p>
    <w:p>
      <w:pPr>
        <w:pStyle w:val="Compact"/>
        <w:numPr>
          <w:ilvl w:val="0"/>
          <w:numId w:val="1023"/>
        </w:numPr>
      </w:pPr>
      <w:r>
        <w:t xml:space="preserve">Data residency options</w:t>
      </w:r>
    </w:p>
    <w:p>
      <w:pPr>
        <w:pStyle w:val="Compact"/>
        <w:numPr>
          <w:ilvl w:val="0"/>
          <w:numId w:val="1023"/>
        </w:numPr>
      </w:pPr>
      <w:r>
        <w:t xml:space="preserve">Sub-processor list as of last review</w:t>
      </w:r>
    </w:p>
    <w:p>
      <w:pPr>
        <w:pStyle w:val="Compact"/>
        <w:numPr>
          <w:ilvl w:val="0"/>
          <w:numId w:val="1023"/>
        </w:numPr>
      </w:pPr>
      <w:r>
        <w:t xml:space="preserve">Contract terms in effect (DPA version, key clauses)</w:t>
      </w:r>
    </w:p>
    <w:p>
      <w:pPr>
        <w:pStyle w:val="Compact"/>
        <w:numPr>
          <w:ilvl w:val="0"/>
          <w:numId w:val="1023"/>
        </w:numPr>
      </w:pPr>
      <w:r>
        <w:t xml:space="preserve">Date of last review</w:t>
      </w:r>
    </w:p>
    <w:p>
      <w:pPr>
        <w:pStyle w:val="FirstParagraph"/>
      </w:pPr>
      <w:r>
        <w:rPr>
          <w:i/>
          <w:iCs/>
        </w:rPr>
        <w:t xml:space="preserve">Guidance: AI provider practices change frequently — pricing tiers add new data-handling terms, model updates change infrastructure, and providers occasionally reverse prior commitments. Rather than embedding specific provider claims in this policy (which would age rapidly and expose [COMPANY NAME] to outdated guidance), maintain provider-specific information in the AI Systems Inventory where it can be updated without policy revision. Review each provider’s baseline at least annually, on contract renewal, and whenever the provider announces material changes.</w:t>
      </w:r>
    </w:p>
    <w:p>
      <w:pPr>
        <w:pStyle w:val="BodyText"/>
      </w:pPr>
      <w:r>
        <w:rPr>
          <w:i/>
          <w:iCs/>
        </w:rPr>
        <w:t xml:space="preserve">Providers commonly evaluated in this baseline include OpenAI, Anthropic, Google, AWS, and Microsoft, but the specific list evolves with [COMPANY NAME]’s AI usage. Verify each provider’s current terms directly against their documentation and DPA before relying on any assumption about their data handling.</w:t>
      </w:r>
    </w:p>
    <w:p>
      <w:pPr>
        <w:pStyle w:val="BodyText"/>
      </w:pPr>
      <w:r>
        <w:t xml:space="preserve">See the AI Vendor Risk Assessment Policy for the current approved provider list and detailed evaluations.</w:t>
      </w:r>
    </w:p>
    <w:p>
      <w:r>
        <w:pict>
          <v:rect style="width:0;height:1.5pt" o:hralign="center" o:hrstd="t" o:hr="t"/>
        </w:pict>
      </w:r>
    </w:p>
    <w:bookmarkEnd w:id="47"/>
    <w:bookmarkEnd w:id="48"/>
    <w:bookmarkStart w:id="54" w:name="data-subject-rights"/>
    <w:p>
      <w:pPr>
        <w:pStyle w:val="Heading2"/>
      </w:pPr>
      <w:r>
        <w:t xml:space="preserve">9. Data Subject Rights</w:t>
      </w:r>
    </w:p>
    <w:p>
      <w:pPr>
        <w:pStyle w:val="FirstParagraph"/>
      </w:pPr>
      <w:r>
        <w:t xml:space="preserve">Individuals have rights over personal data processed by [COMPANY NAME], including through AI systems. This section describes how those rights are honored in AI contexts.</w:t>
      </w:r>
    </w:p>
    <w:bookmarkStart w:id="49" w:name="right-of-access"/>
    <w:p>
      <w:pPr>
        <w:pStyle w:val="Heading3"/>
      </w:pPr>
      <w:r>
        <w:t xml:space="preserve">9.1 Right of Access</w:t>
      </w:r>
    </w:p>
    <w:p>
      <w:pPr>
        <w:pStyle w:val="FirstParagraph"/>
      </w:pPr>
      <w:r>
        <w:t xml:space="preserve">When an individual requests access to their data:</w:t>
      </w:r>
    </w:p>
    <w:p>
      <w:pPr>
        <w:pStyle w:val="Compact"/>
        <w:numPr>
          <w:ilvl w:val="0"/>
          <w:numId w:val="1024"/>
        </w:numPr>
      </w:pPr>
      <w:r>
        <w:t xml:space="preserve">Search AI system logs and prompts/completions for records identifiable to the individual</w:t>
      </w:r>
    </w:p>
    <w:p>
      <w:pPr>
        <w:pStyle w:val="Compact"/>
        <w:numPr>
          <w:ilvl w:val="0"/>
          <w:numId w:val="1024"/>
        </w:numPr>
      </w:pPr>
      <w:r>
        <w:t xml:space="preserve">Identify training datasets that may include the individual’s data</w:t>
      </w:r>
    </w:p>
    <w:p>
      <w:pPr>
        <w:pStyle w:val="Compact"/>
        <w:numPr>
          <w:ilvl w:val="0"/>
          <w:numId w:val="1024"/>
        </w:numPr>
      </w:pPr>
      <w:r>
        <w:t xml:space="preserve">Provide the individual with a copy of the data and information about how it has been processed by AI systems</w:t>
      </w:r>
    </w:p>
    <w:p>
      <w:pPr>
        <w:pStyle w:val="FirstParagraph"/>
      </w:pPr>
      <w:r>
        <w:t xml:space="preserve">Response timeframe: within 30 days (extendable by 60 days for complex requests under GDPR).</w:t>
      </w:r>
    </w:p>
    <w:bookmarkEnd w:id="49"/>
    <w:bookmarkStart w:id="50" w:name="right-to-erasure-right-to-be-forgotten"/>
    <w:p>
      <w:pPr>
        <w:pStyle w:val="Heading3"/>
      </w:pPr>
      <w:r>
        <w:t xml:space="preserve">9.2 Right to Erasure (</w:t>
      </w:r>
      <w:r>
        <w:t xml:space="preserve">“Right to be Forgotten”</w:t>
      </w:r>
      <w:r>
        <w:t xml:space="preserve">)</w:t>
      </w:r>
    </w:p>
    <w:p>
      <w:pPr>
        <w:pStyle w:val="FirstParagraph"/>
      </w:pPr>
      <w:r>
        <w:t xml:space="preserve">When an individual requests deletion of their data:</w:t>
      </w:r>
    </w:p>
    <w:p>
      <w:pPr>
        <w:pStyle w:val="Compact"/>
        <w:numPr>
          <w:ilvl w:val="0"/>
          <w:numId w:val="1025"/>
        </w:numPr>
      </w:pPr>
      <w:r>
        <w:t xml:space="preserve">Delete records in operational systems (prompts, completions, logs) where the individual is identifiable</w:t>
      </w:r>
    </w:p>
    <w:p>
      <w:pPr>
        <w:pStyle w:val="Compact"/>
        <w:numPr>
          <w:ilvl w:val="0"/>
          <w:numId w:val="1025"/>
        </w:numPr>
      </w:pPr>
      <w:r>
        <w:t xml:space="preserve">Delete the individual’s data from active training datasets</w:t>
      </w:r>
    </w:p>
    <w:p>
      <w:pPr>
        <w:pStyle w:val="Compact"/>
        <w:numPr>
          <w:ilvl w:val="0"/>
          <w:numId w:val="1025"/>
        </w:numPr>
      </w:pPr>
      <w:r>
        <w:t xml:space="preserve">Where the individual’s data has been used to train a deployed model, evaluate whether the significance warrants model retraining</w:t>
      </w:r>
    </w:p>
    <w:p>
      <w:pPr>
        <w:pStyle w:val="Compact"/>
        <w:numPr>
          <w:ilvl w:val="0"/>
          <w:numId w:val="1025"/>
        </w:numPr>
      </w:pPr>
      <w:r>
        <w:t xml:space="preserve">Coordinate with AI providers to delete data held on their infrastructure (see provider-specific mechanisms)</w:t>
      </w:r>
    </w:p>
    <w:p>
      <w:pPr>
        <w:pStyle w:val="Compact"/>
        <w:numPr>
          <w:ilvl w:val="0"/>
          <w:numId w:val="1025"/>
        </w:numPr>
      </w:pPr>
      <w:r>
        <w:t xml:space="preserve">Document the request, response, and any limitations</w:t>
      </w:r>
    </w:p>
    <w:p>
      <w:pPr>
        <w:pStyle w:val="FirstParagraph"/>
      </w:pPr>
      <w:r>
        <w:t xml:space="preserve">Not all training data can be removed from deployed models. Where deletion from a model is technically infeasible, document this and communicate the limitation transparently to the data subject.</w:t>
      </w:r>
    </w:p>
    <w:bookmarkEnd w:id="50"/>
    <w:bookmarkStart w:id="51" w:name="right-to-object"/>
    <w:p>
      <w:pPr>
        <w:pStyle w:val="Heading3"/>
      </w:pPr>
      <w:r>
        <w:t xml:space="preserve">9.3 Right to Object</w:t>
      </w:r>
    </w:p>
    <w:p>
      <w:pPr>
        <w:pStyle w:val="FirstParagraph"/>
      </w:pPr>
      <w:r>
        <w:t xml:space="preserve">When an individual objects to AI processing of their data:</w:t>
      </w:r>
    </w:p>
    <w:p>
      <w:pPr>
        <w:pStyle w:val="Compact"/>
        <w:numPr>
          <w:ilvl w:val="0"/>
          <w:numId w:val="1026"/>
        </w:numPr>
      </w:pPr>
      <w:r>
        <w:t xml:space="preserve">Cease processing of the individual’s data by AI systems unless [COMPANY NAME] can demonstrate compelling legitimate grounds</w:t>
      </w:r>
    </w:p>
    <w:p>
      <w:pPr>
        <w:pStyle w:val="Compact"/>
        <w:numPr>
          <w:ilvl w:val="0"/>
          <w:numId w:val="1026"/>
        </w:numPr>
      </w:pPr>
      <w:r>
        <w:t xml:space="preserve">Provide the individual with an opt-out mechanism where AI processing is used for direct marketing</w:t>
      </w:r>
    </w:p>
    <w:p>
      <w:pPr>
        <w:pStyle w:val="Compact"/>
        <w:numPr>
          <w:ilvl w:val="0"/>
          <w:numId w:val="1026"/>
        </w:numPr>
      </w:pPr>
      <w:r>
        <w:t xml:space="preserve">Document the objection and response</w:t>
      </w:r>
    </w:p>
    <w:bookmarkEnd w:id="51"/>
    <w:bookmarkStart w:id="52" w:name="Xa39c500a4cd0be6a69dad1a398d124f70bbddef"/>
    <w:p>
      <w:pPr>
        <w:pStyle w:val="Heading3"/>
      </w:pPr>
      <w:r>
        <w:t xml:space="preserve">9.4 Rights Related to Automated Decision-Making</w:t>
      </w:r>
    </w:p>
    <w:p>
      <w:pPr>
        <w:pStyle w:val="FirstParagraph"/>
      </w:pPr>
      <w:r>
        <w:t xml:space="preserve">Multiple regulatory frameworks now create rights for individuals affected by AI-driven decisions:</w:t>
      </w:r>
    </w:p>
    <w:p>
      <w:pPr>
        <w:pStyle w:val="Compact"/>
        <w:numPr>
          <w:ilvl w:val="0"/>
          <w:numId w:val="1027"/>
        </w:numPr>
      </w:pPr>
      <w:r>
        <w:rPr>
          <w:b/>
          <w:bCs/>
        </w:rPr>
        <w:t xml:space="preserve">GDPR Article 22</w:t>
      </w:r>
      <w:r>
        <w:t xml:space="preserve"> </w:t>
      </w:r>
      <w:r>
        <w:t xml:space="preserve">(EU/UK) — Rights concerning decisions made solely by automated processing that have legal or similarly significant effects</w:t>
      </w:r>
    </w:p>
    <w:p>
      <w:pPr>
        <w:pStyle w:val="Compact"/>
        <w:numPr>
          <w:ilvl w:val="0"/>
          <w:numId w:val="1027"/>
        </w:numPr>
      </w:pPr>
      <w:r>
        <w:rPr>
          <w:b/>
          <w:bCs/>
        </w:rPr>
        <w:t xml:space="preserve">EU AI Act</w:t>
      </w:r>
      <w:r>
        <w:t xml:space="preserve"> </w:t>
      </w:r>
      <w:r>
        <w:t xml:space="preserve">(Articles 26, 27, 86) — Deployer obligations for high-risk AI systems, including transparency to affected persons and the right to explanation for decisions</w:t>
      </w:r>
    </w:p>
    <w:p>
      <w:pPr>
        <w:pStyle w:val="Compact"/>
        <w:numPr>
          <w:ilvl w:val="0"/>
          <w:numId w:val="1027"/>
        </w:numPr>
      </w:pPr>
      <w:r>
        <w:rPr>
          <w:b/>
          <w:bCs/>
        </w:rPr>
        <w:t xml:space="preserve">Colorado AI Act</w:t>
      </w:r>
      <w:r>
        <w:t xml:space="preserve"> </w:t>
      </w:r>
      <w:r>
        <w:t xml:space="preserve">(SB 24-205, effective February 2026) — Consumer rights around high-risk AI decision-making including notice, explanation, correction, and appeal rights</w:t>
      </w:r>
    </w:p>
    <w:p>
      <w:pPr>
        <w:pStyle w:val="Compact"/>
        <w:numPr>
          <w:ilvl w:val="0"/>
          <w:numId w:val="1027"/>
        </w:numPr>
      </w:pPr>
      <w:r>
        <w:rPr>
          <w:b/>
          <w:bCs/>
        </w:rPr>
        <w:t xml:space="preserve">California CPRA</w:t>
      </w:r>
      <w:r>
        <w:t xml:space="preserve"> </w:t>
      </w:r>
      <w:r>
        <w:t xml:space="preserve">and other state privacy laws — Emerging automated decision-making disclosure and opt-out requirements</w:t>
      </w:r>
    </w:p>
    <w:p>
      <w:pPr>
        <w:pStyle w:val="Compact"/>
        <w:numPr>
          <w:ilvl w:val="0"/>
          <w:numId w:val="1027"/>
        </w:numPr>
      </w:pPr>
      <w:r>
        <w:rPr>
          <w:b/>
          <w:bCs/>
        </w:rPr>
        <w:t xml:space="preserve">Sector-specific frameworks</w:t>
      </w:r>
      <w:r>
        <w:t xml:space="preserve"> </w:t>
      </w:r>
      <w:r>
        <w:t xml:space="preserve">— CFPB guidance on AI in lending, EEOC guidance on AI in hiring, HHS guidance on AI in healthcare</w:t>
      </w:r>
    </w:p>
    <w:p>
      <w:pPr>
        <w:pStyle w:val="FirstParagraph"/>
      </w:pPr>
      <w:r>
        <w:t xml:space="preserve">When [COMPANY NAME] uses AI in decisions that could affect individuals’ legal rights, employment, credit, housing, insurance, healthcare, or similar significant matters:</w:t>
      </w:r>
    </w:p>
    <w:p>
      <w:pPr>
        <w:pStyle w:val="Compact"/>
        <w:numPr>
          <w:ilvl w:val="0"/>
          <w:numId w:val="1028"/>
        </w:numPr>
      </w:pPr>
      <w:r>
        <w:t xml:space="preserve">Provide meaningful information about the logic involved</w:t>
      </w:r>
    </w:p>
    <w:p>
      <w:pPr>
        <w:pStyle w:val="Compact"/>
        <w:numPr>
          <w:ilvl w:val="0"/>
          <w:numId w:val="1028"/>
        </w:numPr>
      </w:pPr>
      <w:r>
        <w:t xml:space="preserve">Explain the significance and envisaged consequences of the processing</w:t>
      </w:r>
    </w:p>
    <w:p>
      <w:pPr>
        <w:pStyle w:val="Compact"/>
        <w:numPr>
          <w:ilvl w:val="0"/>
          <w:numId w:val="1028"/>
        </w:numPr>
      </w:pPr>
      <w:r>
        <w:t xml:space="preserve">Offer human review upon request</w:t>
      </w:r>
    </w:p>
    <w:p>
      <w:pPr>
        <w:pStyle w:val="Compact"/>
        <w:numPr>
          <w:ilvl w:val="0"/>
          <w:numId w:val="1028"/>
        </w:numPr>
      </w:pPr>
      <w:r>
        <w:t xml:space="preserve">Allow the individual to contest the decision</w:t>
      </w:r>
    </w:p>
    <w:p>
      <w:pPr>
        <w:pStyle w:val="Compact"/>
        <w:numPr>
          <w:ilvl w:val="0"/>
          <w:numId w:val="1028"/>
        </w:numPr>
      </w:pPr>
      <w:r>
        <w:t xml:space="preserve">Document the decision-making process to support explanation and audit</w:t>
      </w:r>
    </w:p>
    <w:p>
      <w:pPr>
        <w:pStyle w:val="FirstParagraph"/>
      </w:pPr>
      <w:r>
        <w:rPr>
          <w:i/>
          <w:iCs/>
        </w:rPr>
        <w:t xml:space="preserve">Guidance: The regulatory landscape for automated decision-making changes frequently. This is one of the most active areas of AI regulation as of the policy effective date. The Legal / Compliance Liaison should track new laws quarterly and update this policy when material new obligations arise.</w:t>
      </w:r>
    </w:p>
    <w:p>
      <w:pPr>
        <w:pStyle w:val="BodyText"/>
      </w:pPr>
      <w:r>
        <w:t xml:space="preserve">See AI System Impact Assessment Policy for identifying which AI uses trigger these requirements.</w:t>
      </w:r>
    </w:p>
    <w:bookmarkEnd w:id="52"/>
    <w:bookmarkStart w:id="53" w:name="response-workflow"/>
    <w:p>
      <w:pPr>
        <w:pStyle w:val="Heading3"/>
      </w:pPr>
      <w:r>
        <w:t xml:space="preserve">9.5 Response Workflow</w:t>
      </w:r>
    </w:p>
    <w:p>
      <w:pPr>
        <w:pStyle w:val="FirstParagraph"/>
      </w:pPr>
      <w:r>
        <w:t xml:space="preserve">Data subject requests are handled per [COMPANY NAME]’s Data Subject Request Response Procedure (see Appendix E for the template).</w:t>
      </w:r>
    </w:p>
    <w:p>
      <w:r>
        <w:pict>
          <v:rect style="width:0;height:1.5pt" o:hralign="center" o:hrstd="t" o:hr="t"/>
        </w:pict>
      </w:r>
    </w:p>
    <w:bookmarkEnd w:id="53"/>
    <w:bookmarkEnd w:id="54"/>
    <w:bookmarkStart w:id="58" w:name="Xe0e89c11ee5d4c743eff0ee2a05185e733bfc47"/>
    <w:p>
      <w:pPr>
        <w:pStyle w:val="Heading2"/>
      </w:pPr>
      <w:r>
        <w:t xml:space="preserve">10. Incident Response for Data Governance Issues</w:t>
      </w:r>
    </w:p>
    <w:p>
      <w:pPr>
        <w:pStyle w:val="FirstParagraph"/>
      </w:pPr>
      <w:r>
        <w:t xml:space="preserve">Data governance incidents involving AI include:</w:t>
      </w:r>
    </w:p>
    <w:p>
      <w:pPr>
        <w:pStyle w:val="Compact"/>
        <w:numPr>
          <w:ilvl w:val="0"/>
          <w:numId w:val="1029"/>
        </w:numPr>
      </w:pPr>
      <w:r>
        <w:t xml:space="preserve">Unauthorized AI processing of sensitive or regulated data</w:t>
      </w:r>
    </w:p>
    <w:p>
      <w:pPr>
        <w:pStyle w:val="Compact"/>
        <w:numPr>
          <w:ilvl w:val="0"/>
          <w:numId w:val="1029"/>
        </w:numPr>
      </w:pPr>
      <w:r>
        <w:t xml:space="preserve">Data leakage through AI prompts or completions</w:t>
      </w:r>
    </w:p>
    <w:p>
      <w:pPr>
        <w:pStyle w:val="Compact"/>
        <w:numPr>
          <w:ilvl w:val="0"/>
          <w:numId w:val="1029"/>
        </w:numPr>
      </w:pPr>
      <w:r>
        <w:t xml:space="preserve">Model memorization exposing training data to users</w:t>
      </w:r>
    </w:p>
    <w:p>
      <w:pPr>
        <w:pStyle w:val="Compact"/>
        <w:numPr>
          <w:ilvl w:val="0"/>
          <w:numId w:val="1029"/>
        </w:numPr>
      </w:pPr>
      <w:r>
        <w:t xml:space="preserve">Vendor breach affecting [COMPANY NAME] data held by AI providers</w:t>
      </w:r>
    </w:p>
    <w:p>
      <w:pPr>
        <w:pStyle w:val="Compact"/>
        <w:numPr>
          <w:ilvl w:val="0"/>
          <w:numId w:val="1029"/>
        </w:numPr>
      </w:pPr>
      <w:r>
        <w:t xml:space="preserve">Discovery of Shadow AI processing significant data</w:t>
      </w:r>
    </w:p>
    <w:p>
      <w:pPr>
        <w:pStyle w:val="Compact"/>
        <w:numPr>
          <w:ilvl w:val="0"/>
          <w:numId w:val="1029"/>
        </w:numPr>
      </w:pPr>
      <w:r>
        <w:t xml:space="preserve">AI-generated content used in ways that harm data subjects</w:t>
      </w:r>
    </w:p>
    <w:bookmarkStart w:id="55" w:name="escalation"/>
    <w:p>
      <w:pPr>
        <w:pStyle w:val="Heading3"/>
      </w:pPr>
      <w:r>
        <w:t xml:space="preserve">10.1 Escalation</w:t>
      </w:r>
    </w:p>
    <w:p>
      <w:pPr>
        <w:pStyle w:val="FirstParagraph"/>
      </w:pPr>
      <w:r>
        <w:t xml:space="preserve">Any suspected incident must be reported to the Data Governance Lead and Security Lead within 24 hours of discovery. High-severity incidents (regulated data exposure, regulator involvement, media risk) must be escalated to executive leadership immediately.</w:t>
      </w:r>
    </w:p>
    <w:bookmarkEnd w:id="55"/>
    <w:bookmarkStart w:id="56" w:name="response"/>
    <w:p>
      <w:pPr>
        <w:pStyle w:val="Heading3"/>
      </w:pPr>
      <w:r>
        <w:t xml:space="preserve">10.2 Response</w:t>
      </w:r>
    </w:p>
    <w:p>
      <w:pPr>
        <w:pStyle w:val="FirstParagraph"/>
      </w:pPr>
      <w:r>
        <w:t xml:space="preserve">Incidents are handled per the AI Incident Response Plan. This policy adds the following data-specific requirements:</w:t>
      </w:r>
    </w:p>
    <w:p>
      <w:pPr>
        <w:pStyle w:val="Compact"/>
        <w:numPr>
          <w:ilvl w:val="0"/>
          <w:numId w:val="1030"/>
        </w:numPr>
      </w:pPr>
      <w:r>
        <w:t xml:space="preserve">Preserve AI logs, prompts, completions, and system state for investigation</w:t>
      </w:r>
    </w:p>
    <w:p>
      <w:pPr>
        <w:pStyle w:val="Compact"/>
        <w:numPr>
          <w:ilvl w:val="0"/>
          <w:numId w:val="1030"/>
        </w:numPr>
      </w:pPr>
      <w:r>
        <w:t xml:space="preserve">Identify affected data subjects</w:t>
      </w:r>
    </w:p>
    <w:p>
      <w:pPr>
        <w:pStyle w:val="Compact"/>
        <w:numPr>
          <w:ilvl w:val="0"/>
          <w:numId w:val="1030"/>
        </w:numPr>
      </w:pPr>
      <w:r>
        <w:t xml:space="preserve">Assess notification obligations (regulators, customers, individuals)</w:t>
      </w:r>
    </w:p>
    <w:p>
      <w:pPr>
        <w:pStyle w:val="Compact"/>
        <w:numPr>
          <w:ilvl w:val="0"/>
          <w:numId w:val="1030"/>
        </w:numPr>
      </w:pPr>
      <w:r>
        <w:t xml:space="preserve">Coordinate with affected AI providers per contract terms</w:t>
      </w:r>
    </w:p>
    <w:bookmarkEnd w:id="56"/>
    <w:bookmarkStart w:id="57" w:name="notification"/>
    <w:p>
      <w:pPr>
        <w:pStyle w:val="Heading3"/>
      </w:pPr>
      <w:r>
        <w:t xml:space="preserve">10.3 Notification</w:t>
      </w:r>
    </w:p>
    <w:p>
      <w:pPr>
        <w:pStyle w:val="FirstParagraph"/>
      </w:pPr>
      <w:r>
        <w:t xml:space="preserve">Notification obligations depend on jurisdiction and data type. Common triggers:</w:t>
      </w:r>
    </w:p>
    <w:p>
      <w:pPr>
        <w:pStyle w:val="Compact"/>
        <w:numPr>
          <w:ilvl w:val="0"/>
          <w:numId w:val="1031"/>
        </w:numPr>
      </w:pPr>
      <w:r>
        <w:t xml:space="preserve">GDPR: notification to supervisory authority within 72 hours for personal data breaches</w:t>
      </w:r>
    </w:p>
    <w:p>
      <w:pPr>
        <w:pStyle w:val="Compact"/>
        <w:numPr>
          <w:ilvl w:val="0"/>
          <w:numId w:val="1031"/>
        </w:numPr>
      </w:pPr>
      <w:r>
        <w:t xml:space="preserve">State breach notification laws (US): typically 30-90 days depending on state</w:t>
      </w:r>
    </w:p>
    <w:p>
      <w:pPr>
        <w:pStyle w:val="Compact"/>
        <w:numPr>
          <w:ilvl w:val="0"/>
          <w:numId w:val="1031"/>
        </w:numPr>
      </w:pPr>
      <w:r>
        <w:t xml:space="preserve">Sector-specific: HIPAA (60 days for breaches), state financial regulators, etc.</w:t>
      </w:r>
    </w:p>
    <w:p>
      <w:pPr>
        <w:pStyle w:val="FirstParagraph"/>
      </w:pPr>
      <w:r>
        <w:t xml:space="preserve">Consult the Legal / Compliance Liaison for notification determinations.</w:t>
      </w:r>
    </w:p>
    <w:p>
      <w:r>
        <w:pict>
          <v:rect style="width:0;height:1.5pt" o:hralign="center" o:hrstd="t" o:hr="t"/>
        </w:pict>
      </w:r>
    </w:p>
    <w:bookmarkEnd w:id="57"/>
    <w:bookmarkEnd w:id="58"/>
    <w:bookmarkStart w:id="62" w:name="monitoring-compliance"/>
    <w:p>
      <w:pPr>
        <w:pStyle w:val="Heading2"/>
      </w:pPr>
      <w:r>
        <w:t xml:space="preserve">11. Monitoring &amp; Compliance</w:t>
      </w:r>
    </w:p>
    <w:bookmarkStart w:id="59" w:name="program-metrics"/>
    <w:p>
      <w:pPr>
        <w:pStyle w:val="Heading3"/>
      </w:pPr>
      <w:r>
        <w:t xml:space="preserve">11.1 Program Metrics</w:t>
      </w:r>
    </w:p>
    <w:p>
      <w:pPr>
        <w:pStyle w:val="FirstParagraph"/>
      </w:pPr>
      <w:r>
        <w:t xml:space="preserve">The following metrics are tracked and reported quarterly:</w:t>
      </w:r>
    </w:p>
    <w:p>
      <w:pPr>
        <w:pStyle w:val="Compact"/>
        <w:numPr>
          <w:ilvl w:val="0"/>
          <w:numId w:val="1032"/>
        </w:numPr>
      </w:pPr>
      <w:r>
        <w:t xml:space="preserve">Number of AI systems in the approved inventory</w:t>
      </w:r>
    </w:p>
    <w:p>
      <w:pPr>
        <w:pStyle w:val="Compact"/>
        <w:numPr>
          <w:ilvl w:val="0"/>
          <w:numId w:val="1032"/>
        </w:numPr>
      </w:pPr>
      <w:r>
        <w:t xml:space="preserve">Number of pending vendor assessments and average turnaround time</w:t>
      </w:r>
    </w:p>
    <w:p>
      <w:pPr>
        <w:pStyle w:val="Compact"/>
        <w:numPr>
          <w:ilvl w:val="0"/>
          <w:numId w:val="1032"/>
        </w:numPr>
      </w:pPr>
      <w:r>
        <w:t xml:space="preserve">Data classification coverage (percentage of AI systems with documented data flows)</w:t>
      </w:r>
    </w:p>
    <w:p>
      <w:pPr>
        <w:pStyle w:val="Compact"/>
        <w:numPr>
          <w:ilvl w:val="0"/>
          <w:numId w:val="1032"/>
        </w:numPr>
      </w:pPr>
      <w:r>
        <w:t xml:space="preserve">Number and severity of AI data governance incidents</w:t>
      </w:r>
    </w:p>
    <w:p>
      <w:pPr>
        <w:pStyle w:val="Compact"/>
        <w:numPr>
          <w:ilvl w:val="0"/>
          <w:numId w:val="1032"/>
        </w:numPr>
      </w:pPr>
      <w:r>
        <w:t xml:space="preserve">Number of data subject requests received and response time</w:t>
      </w:r>
    </w:p>
    <w:p>
      <w:pPr>
        <w:pStyle w:val="Compact"/>
        <w:numPr>
          <w:ilvl w:val="0"/>
          <w:numId w:val="1032"/>
        </w:numPr>
      </w:pPr>
      <w:r>
        <w:t xml:space="preserve">Training completion rate</w:t>
      </w:r>
    </w:p>
    <w:bookmarkEnd w:id="59"/>
    <w:bookmarkStart w:id="60" w:name="compliance-verification"/>
    <w:p>
      <w:pPr>
        <w:pStyle w:val="Heading3"/>
      </w:pPr>
      <w:r>
        <w:t xml:space="preserve">11.2 Compliance Verification</w:t>
      </w:r>
    </w:p>
    <w:p>
      <w:pPr>
        <w:pStyle w:val="Compact"/>
        <w:numPr>
          <w:ilvl w:val="0"/>
          <w:numId w:val="1033"/>
        </w:numPr>
      </w:pPr>
      <w:r>
        <w:t xml:space="preserve">Self-assessment against this policy: quarterly, conducted by AI System Owners</w:t>
      </w:r>
    </w:p>
    <w:p>
      <w:pPr>
        <w:pStyle w:val="Compact"/>
        <w:numPr>
          <w:ilvl w:val="0"/>
          <w:numId w:val="1033"/>
        </w:numPr>
      </w:pPr>
      <w:r>
        <w:t xml:space="preserve">Program-level review: semi-annual, conducted by the Data Governance Lead</w:t>
      </w:r>
    </w:p>
    <w:p>
      <w:pPr>
        <w:pStyle w:val="Compact"/>
        <w:numPr>
          <w:ilvl w:val="0"/>
          <w:numId w:val="1033"/>
        </w:numPr>
      </w:pPr>
      <w:r>
        <w:t xml:space="preserve">Third-party assessment: annually or as required for enterprise customer commitments, SOC 2, or regulatory purposes</w:t>
      </w:r>
    </w:p>
    <w:bookmarkEnd w:id="60"/>
    <w:bookmarkStart w:id="61" w:name="audit-trail"/>
    <w:p>
      <w:pPr>
        <w:pStyle w:val="Heading3"/>
      </w:pPr>
      <w:r>
        <w:t xml:space="preserve">11.3 Audit Trail</w:t>
      </w:r>
    </w:p>
    <w:p>
      <w:pPr>
        <w:pStyle w:val="FirstParagraph"/>
      </w:pPr>
      <w:r>
        <w:t xml:space="preserve">Records supporting compliance verification are retained for three years:</w:t>
      </w:r>
      <w:r>
        <w:t xml:space="preserve"> </w:t>
      </w:r>
      <w:r>
        <w:t xml:space="preserve">- Vendor assessments</w:t>
      </w:r>
      <w:r>
        <w:t xml:space="preserve"> </w:t>
      </w:r>
      <w:r>
        <w:t xml:space="preserve">- Approval decisions</w:t>
      </w:r>
      <w:r>
        <w:t xml:space="preserve"> </w:t>
      </w:r>
      <w:r>
        <w:t xml:space="preserve">- Data subject request responses</w:t>
      </w:r>
      <w:r>
        <w:t xml:space="preserve"> </w:t>
      </w:r>
      <w:r>
        <w:t xml:space="preserve">- Incident records</w:t>
      </w:r>
      <w:r>
        <w:t xml:space="preserve"> </w:t>
      </w:r>
      <w:r>
        <w:t xml:space="preserve">- Training completion records</w:t>
      </w:r>
    </w:p>
    <w:p>
      <w:r>
        <w:pict>
          <v:rect style="width:0;height:1.5pt" o:hralign="center" o:hrstd="t" o:hr="t"/>
        </w:pict>
      </w:r>
    </w:p>
    <w:bookmarkEnd w:id="61"/>
    <w:bookmarkEnd w:id="62"/>
    <w:bookmarkStart w:id="67" w:name="training-awareness"/>
    <w:p>
      <w:pPr>
        <w:pStyle w:val="Heading2"/>
      </w:pPr>
      <w:r>
        <w:t xml:space="preserve">12. Training &amp; Awareness</w:t>
      </w:r>
    </w:p>
    <w:bookmarkStart w:id="63" w:name="onboarding"/>
    <w:p>
      <w:pPr>
        <w:pStyle w:val="Heading3"/>
      </w:pPr>
      <w:r>
        <w:t xml:space="preserve">12.1 Onboarding</w:t>
      </w:r>
    </w:p>
    <w:p>
      <w:pPr>
        <w:pStyle w:val="FirstParagraph"/>
      </w:pPr>
      <w:r>
        <w:t xml:space="preserve">New employees receive AI data governance training within their first 30 days, covering:</w:t>
      </w:r>
      <w:r>
        <w:t xml:space="preserve"> </w:t>
      </w:r>
      <w:r>
        <w:t xml:space="preserve">- This policy at a summary level</w:t>
      </w:r>
      <w:r>
        <w:t xml:space="preserve"> </w:t>
      </w:r>
      <w:r>
        <w:t xml:space="preserve">- How to identify AI systems and data classification</w:t>
      </w:r>
      <w:r>
        <w:t xml:space="preserve"> </w:t>
      </w:r>
      <w:r>
        <w:t xml:space="preserve">- How to request approval for new AI use</w:t>
      </w:r>
      <w:r>
        <w:t xml:space="preserve"> </w:t>
      </w:r>
      <w:r>
        <w:t xml:space="preserve">- How to report incidents</w:t>
      </w:r>
    </w:p>
    <w:p>
      <w:pPr>
        <w:pStyle w:val="BodyText"/>
      </w:pPr>
      <w:r>
        <w:rPr>
          <w:i/>
          <w:iCs/>
        </w:rPr>
        <w:t xml:space="preserve">Guidance: For companies without formal training programs, at minimum ensure this policy is shared with all new employees during onboarding, that they acknowledge receipt and review, and that a brief walkthrough (video, live session, or written summary) is provided. Formal LMS-based training programs can be added as the company scales past ~50 employees.</w:t>
      </w:r>
    </w:p>
    <w:bookmarkEnd w:id="63"/>
    <w:bookmarkStart w:id="64" w:name="annual-refresher"/>
    <w:p>
      <w:pPr>
        <w:pStyle w:val="Heading3"/>
      </w:pPr>
      <w:r>
        <w:t xml:space="preserve">12.2 Annual Refresher</w:t>
      </w:r>
    </w:p>
    <w:p>
      <w:pPr>
        <w:pStyle w:val="FirstParagraph"/>
      </w:pPr>
      <w:r>
        <w:t xml:space="preserve">All employees complete a refresher training annually. Content is updated to reflect policy changes, new AI systems, and lessons learned from incidents.</w:t>
      </w:r>
    </w:p>
    <w:p>
      <w:pPr>
        <w:pStyle w:val="BodyText"/>
      </w:pPr>
      <w:r>
        <w:rPr>
          <w:i/>
          <w:iCs/>
        </w:rPr>
        <w:t xml:space="preserve">Guidance: For smaller teams, the</w:t>
      </w:r>
      <w:r>
        <w:rPr>
          <w:i/>
          <w:iCs/>
        </w:rPr>
        <w:t xml:space="preserve"> </w:t>
      </w:r>
      <w:r>
        <w:rPr>
          <w:i/>
          <w:iCs/>
        </w:rPr>
        <w:t xml:space="preserve">“annual refresher”</w:t>
      </w:r>
      <w:r>
        <w:rPr>
          <w:i/>
          <w:iCs/>
        </w:rPr>
        <w:t xml:space="preserve"> </w:t>
      </w:r>
      <w:r>
        <w:rPr>
          <w:i/>
          <w:iCs/>
        </w:rPr>
        <w:t xml:space="preserve">can be as simple as an all-hands review of the current policy, notable incidents in the past year, and any changes. Documented completion is what matters — the format can grow with the company.</w:t>
      </w:r>
    </w:p>
    <w:bookmarkEnd w:id="64"/>
    <w:bookmarkStart w:id="65" w:name="role-specific-training"/>
    <w:p>
      <w:pPr>
        <w:pStyle w:val="Heading3"/>
      </w:pPr>
      <w:r>
        <w:t xml:space="preserve">12.3 Role-Specific Training</w:t>
      </w:r>
    </w:p>
    <w:p>
      <w:pPr>
        <w:pStyle w:val="Compact"/>
        <w:numPr>
          <w:ilvl w:val="0"/>
          <w:numId w:val="1034"/>
        </w:numPr>
      </w:pPr>
      <w:r>
        <w:rPr>
          <w:b/>
          <w:bCs/>
        </w:rPr>
        <w:t xml:space="preserve">Engineers:</w:t>
      </w:r>
      <w:r>
        <w:t xml:space="preserve"> </w:t>
      </w:r>
      <w:r>
        <w:t xml:space="preserve">Extended technical training covering approved AI providers, secure prompt patterns, training data governance, and logging requirements</w:t>
      </w:r>
    </w:p>
    <w:p>
      <w:pPr>
        <w:pStyle w:val="Compact"/>
        <w:numPr>
          <w:ilvl w:val="0"/>
          <w:numId w:val="1034"/>
        </w:numPr>
      </w:pPr>
      <w:r>
        <w:rPr>
          <w:b/>
          <w:bCs/>
        </w:rPr>
        <w:t xml:space="preserve">Sales and Customer Success:</w:t>
      </w:r>
      <w:r>
        <w:t xml:space="preserve"> </w:t>
      </w:r>
      <w:r>
        <w:t xml:space="preserve">Training on what AI capabilities may be represented to customers, and on handling customer questions about AI data practices</w:t>
      </w:r>
    </w:p>
    <w:p>
      <w:pPr>
        <w:pStyle w:val="Compact"/>
        <w:numPr>
          <w:ilvl w:val="0"/>
          <w:numId w:val="1034"/>
        </w:numPr>
      </w:pPr>
      <w:r>
        <w:rPr>
          <w:b/>
          <w:bCs/>
        </w:rPr>
        <w:t xml:space="preserve">Support:</w:t>
      </w:r>
      <w:r>
        <w:t xml:space="preserve"> </w:t>
      </w:r>
      <w:r>
        <w:t xml:space="preserve">Training on AI-assisted response tools, data classification in support contexts, and escalation for sensitive customer data</w:t>
      </w:r>
    </w:p>
    <w:bookmarkEnd w:id="65"/>
    <w:bookmarkStart w:id="66" w:name="documentation"/>
    <w:p>
      <w:pPr>
        <w:pStyle w:val="Heading3"/>
      </w:pPr>
      <w:r>
        <w:t xml:space="preserve">12.4 Documentation</w:t>
      </w:r>
    </w:p>
    <w:p>
      <w:pPr>
        <w:pStyle w:val="FirstParagraph"/>
      </w:pPr>
      <w:r>
        <w:t xml:space="preserve">Training completion is documented and available for compliance verification.</w:t>
      </w:r>
    </w:p>
    <w:p>
      <w:r>
        <w:pict>
          <v:rect style="width:0;height:1.5pt" o:hralign="center" o:hrstd="t" o:hr="t"/>
        </w:pict>
      </w:r>
    </w:p>
    <w:bookmarkEnd w:id="66"/>
    <w:bookmarkEnd w:id="67"/>
    <w:bookmarkStart w:id="71" w:name="policy-review-update-cadence"/>
    <w:p>
      <w:pPr>
        <w:pStyle w:val="Heading2"/>
      </w:pPr>
      <w:r>
        <w:t xml:space="preserve">13. Policy Review &amp; Update Cadence</w:t>
      </w:r>
    </w:p>
    <w:bookmarkStart w:id="68" w:name="review-frequency"/>
    <w:p>
      <w:pPr>
        <w:pStyle w:val="Heading3"/>
      </w:pPr>
      <w:r>
        <w:t xml:space="preserve">13.1 Review Frequency</w:t>
      </w:r>
    </w:p>
    <w:p>
      <w:pPr>
        <w:pStyle w:val="FirstParagraph"/>
      </w:pPr>
      <w:r>
        <w:t xml:space="preserve">This policy is reviewed at least every six months by the Data Governance Lead. Reviews are also triggered by:</w:t>
      </w:r>
    </w:p>
    <w:p>
      <w:pPr>
        <w:pStyle w:val="Compact"/>
        <w:numPr>
          <w:ilvl w:val="0"/>
          <w:numId w:val="1035"/>
        </w:numPr>
      </w:pPr>
      <w:r>
        <w:t xml:space="preserve">Material changes to applicable law or regulation</w:t>
      </w:r>
    </w:p>
    <w:p>
      <w:pPr>
        <w:pStyle w:val="Compact"/>
        <w:numPr>
          <w:ilvl w:val="0"/>
          <w:numId w:val="1035"/>
        </w:numPr>
      </w:pPr>
      <w:r>
        <w:t xml:space="preserve">Significant changes to [COMPANY NAME]’s AI systems or use cases</w:t>
      </w:r>
    </w:p>
    <w:p>
      <w:pPr>
        <w:pStyle w:val="Compact"/>
        <w:numPr>
          <w:ilvl w:val="0"/>
          <w:numId w:val="1035"/>
        </w:numPr>
      </w:pPr>
      <w:r>
        <w:t xml:space="preserve">Incidents revealing gaps in current policy</w:t>
      </w:r>
    </w:p>
    <w:p>
      <w:pPr>
        <w:pStyle w:val="Compact"/>
        <w:numPr>
          <w:ilvl w:val="0"/>
          <w:numId w:val="1035"/>
        </w:numPr>
      </w:pPr>
      <w:r>
        <w:t xml:space="preserve">Feedback from enterprise customers, auditors, or regulators</w:t>
      </w:r>
    </w:p>
    <w:bookmarkEnd w:id="68"/>
    <w:bookmarkStart w:id="69" w:name="change-management"/>
    <w:p>
      <w:pPr>
        <w:pStyle w:val="Heading3"/>
      </w:pPr>
      <w:r>
        <w:t xml:space="preserve">13.2 Change Management</w:t>
      </w:r>
    </w:p>
    <w:p>
      <w:pPr>
        <w:pStyle w:val="FirstParagraph"/>
      </w:pPr>
      <w:r>
        <w:t xml:space="preserve">Policy changes follow this process:</w:t>
      </w:r>
      <w:r>
        <w:t xml:space="preserve"> </w:t>
      </w:r>
      <w:r>
        <w:t xml:space="preserve">- Draft changes reviewed by Data Governance Lead</w:t>
      </w:r>
      <w:r>
        <w:t xml:space="preserve"> </w:t>
      </w:r>
      <w:r>
        <w:t xml:space="preserve">- Consultation with Legal / Compliance Liaison for material changes</w:t>
      </w:r>
      <w:r>
        <w:t xml:space="preserve"> </w:t>
      </w:r>
      <w:r>
        <w:t xml:space="preserve">- Executive sponsor review for changes affecting scope or roles</w:t>
      </w:r>
      <w:r>
        <w:t xml:space="preserve"> </w:t>
      </w:r>
      <w:r>
        <w:t xml:space="preserve">- Communication to affected employees before effective date</w:t>
      </w:r>
      <w:r>
        <w:t xml:space="preserve"> </w:t>
      </w:r>
      <w:r>
        <w:t xml:space="preserve">- Version history maintained in the document header</w:t>
      </w:r>
    </w:p>
    <w:bookmarkEnd w:id="69"/>
    <w:bookmarkStart w:id="70" w:name="distribution"/>
    <w:p>
      <w:pPr>
        <w:pStyle w:val="Heading3"/>
      </w:pPr>
      <w:r>
        <w:t xml:space="preserve">13.3 Distribution</w:t>
      </w:r>
    </w:p>
    <w:p>
      <w:pPr>
        <w:pStyle w:val="FirstParagraph"/>
      </w:pPr>
      <w:r>
        <w:t xml:space="preserve">Current version is available to all employees in [COMPANY NAME]’s policy repository. External sharing (with customers, auditors, regulators) is approved by the Data Governance Lead.</w:t>
      </w:r>
    </w:p>
    <w:p>
      <w:r>
        <w:pict>
          <v:rect style="width:0;height:1.5pt" o:hralign="center" o:hrstd="t" o:hr="t"/>
        </w:pict>
      </w:r>
    </w:p>
    <w:bookmarkEnd w:id="70"/>
    <w:bookmarkEnd w:id="71"/>
    <w:bookmarkStart w:id="75" w:name="enforcement"/>
    <w:p>
      <w:pPr>
        <w:pStyle w:val="Heading2"/>
      </w:pPr>
      <w:r>
        <w:t xml:space="preserve">14. Enforcement</w:t>
      </w:r>
    </w:p>
    <w:bookmarkStart w:id="72" w:name="response-to-violations"/>
    <w:p>
      <w:pPr>
        <w:pStyle w:val="Heading3"/>
      </w:pPr>
      <w:r>
        <w:t xml:space="preserve">14.1 Response to Violations</w:t>
      </w:r>
    </w:p>
    <w:p>
      <w:pPr>
        <w:pStyle w:val="FirstParagraph"/>
      </w:pPr>
      <w:r>
        <w:t xml:space="preserve">[COMPANY NAME] treats AI data governance as a learning culture. Most violations are inadvertent and reflect gaps in understanding rather than bad intent. The response to violations is proportional to severity, intent, and pattern:</w:t>
      </w:r>
    </w:p>
    <w:p>
      <w:pPr>
        <w:pStyle w:val="Compact"/>
        <w:numPr>
          <w:ilvl w:val="0"/>
          <w:numId w:val="1036"/>
        </w:numPr>
      </w:pPr>
      <w:r>
        <w:rPr>
          <w:b/>
          <w:bCs/>
        </w:rPr>
        <w:t xml:space="preserve">First-time, inadvertent violations</w:t>
      </w:r>
      <w:r>
        <w:t xml:space="preserve"> </w:t>
      </w:r>
      <w:r>
        <w:t xml:space="preserve">(e.g., pasting internal data into a consumer AI account without realizing it was prohibited): treated as a coaching opportunity. The employee is helped to understand the policy, the specific issue is remediated (data deleted, vendor notified if appropriate), and the incident is documented for pattern tracking.</w:t>
      </w:r>
    </w:p>
    <w:p>
      <w:pPr>
        <w:pStyle w:val="Compact"/>
        <w:numPr>
          <w:ilvl w:val="0"/>
          <w:numId w:val="1036"/>
        </w:numPr>
      </w:pPr>
      <w:r>
        <w:rPr>
          <w:b/>
          <w:bCs/>
        </w:rPr>
        <w:t xml:space="preserve">Repeated inadvertent violations by the same person</w:t>
      </w:r>
      <w:r>
        <w:t xml:space="preserve">: additional training, closer support, and escalation to the employee’s manager. Persistent pattern may indicate a role-fit or resource issue.</w:t>
      </w:r>
    </w:p>
    <w:p>
      <w:pPr>
        <w:pStyle w:val="Compact"/>
        <w:numPr>
          <w:ilvl w:val="0"/>
          <w:numId w:val="1036"/>
        </w:numPr>
      </w:pPr>
      <w:r>
        <w:rPr>
          <w:b/>
          <w:bCs/>
        </w:rPr>
        <w:t xml:space="preserve">Negligent violations</w:t>
      </w:r>
      <w:r>
        <w:t xml:space="preserve"> </w:t>
      </w:r>
      <w:r>
        <w:t xml:space="preserve">(should have known better given role and training): performance review escalation, additional training, and restricted access to AI systems until competency is demonstrated.</w:t>
      </w:r>
    </w:p>
    <w:p>
      <w:pPr>
        <w:pStyle w:val="Compact"/>
        <w:numPr>
          <w:ilvl w:val="0"/>
          <w:numId w:val="1036"/>
        </w:numPr>
      </w:pPr>
      <w:r>
        <w:rPr>
          <w:b/>
          <w:bCs/>
        </w:rPr>
        <w:t xml:space="preserve">Willful violations or violations causing significant harm</w:t>
      </w:r>
      <w:r>
        <w:t xml:space="preserve">: investigated by the Security Lead in coordination with HR and Legal. Consequences depend on severity and may include restricted access, formal disciplinary action, or termination. In cases of intentional data exfiltration or fraud, legal action may be pursued.</w:t>
      </w:r>
    </w:p>
    <w:p>
      <w:pPr>
        <w:pStyle w:val="FirstParagraph"/>
      </w:pPr>
      <w:r>
        <w:t xml:space="preserve">The goal of this graduated approach is to encourage employees to surface potential issues early rather than hide them out of fear of consequences.</w:t>
      </w:r>
    </w:p>
    <w:bookmarkEnd w:id="72"/>
    <w:bookmarkStart w:id="73" w:name="investigation"/>
    <w:p>
      <w:pPr>
        <w:pStyle w:val="Heading3"/>
      </w:pPr>
      <w:r>
        <w:t xml:space="preserve">14.2 Investigation</w:t>
      </w:r>
    </w:p>
    <w:p>
      <w:pPr>
        <w:pStyle w:val="FirstParagraph"/>
      </w:pPr>
      <w:r>
        <w:t xml:space="preserve">Suspected violations are investigated by the Security Lead in coordination with HR (for personnel matters) and Legal (for legal implications).</w:t>
      </w:r>
    </w:p>
    <w:bookmarkEnd w:id="73"/>
    <w:bookmarkStart w:id="74" w:name="reporting"/>
    <w:p>
      <w:pPr>
        <w:pStyle w:val="Heading3"/>
      </w:pPr>
      <w:r>
        <w:t xml:space="preserve">14.3 Reporting</w:t>
      </w:r>
    </w:p>
    <w:p>
      <w:pPr>
        <w:pStyle w:val="FirstParagraph"/>
      </w:pPr>
      <w:r>
        <w:t xml:space="preserve">Employees may report suspected violations through:</w:t>
      </w:r>
      <w:r>
        <w:t xml:space="preserve"> </w:t>
      </w:r>
      <w:r>
        <w:t xml:space="preserve">- Direct report to their manager</w:t>
      </w:r>
      <w:r>
        <w:t xml:space="preserve"> </w:t>
      </w:r>
      <w:r>
        <w:t xml:space="preserve">- Report to the Data Governance Lead or Security Lead</w:t>
      </w:r>
      <w:r>
        <w:t xml:space="preserve"> </w:t>
      </w:r>
      <w:r>
        <w:t xml:space="preserve">- Anonymous reporting through [COMPANY NAME]’s ethics reporting mechanism</w:t>
      </w:r>
    </w:p>
    <w:p>
      <w:pPr>
        <w:pStyle w:val="BodyText"/>
      </w:pPr>
      <w:r>
        <w:t xml:space="preserve">Retaliation for good-faith reporting is prohibited.</w:t>
      </w:r>
    </w:p>
    <w:p>
      <w:r>
        <w:pict>
          <v:rect style="width:0;height:1.5pt" o:hralign="center" o:hrstd="t" o:hr="t"/>
        </w:pict>
      </w:r>
    </w:p>
    <w:bookmarkEnd w:id="74"/>
    <w:bookmarkEnd w:id="75"/>
    <w:bookmarkStart w:id="79" w:name="references"/>
    <w:p>
      <w:pPr>
        <w:pStyle w:val="Heading2"/>
      </w:pPr>
      <w:r>
        <w:t xml:space="preserve">15. References</w:t>
      </w:r>
    </w:p>
    <w:bookmarkStart w:id="76" w:name="frameworks-and-standards"/>
    <w:p>
      <w:pPr>
        <w:pStyle w:val="Heading3"/>
      </w:pPr>
      <w:r>
        <w:t xml:space="preserve">15.1 Frameworks and Standards</w:t>
      </w:r>
    </w:p>
    <w:p>
      <w:pPr>
        <w:pStyle w:val="Compact"/>
        <w:numPr>
          <w:ilvl w:val="0"/>
          <w:numId w:val="1037"/>
        </w:numPr>
      </w:pPr>
      <w:r>
        <w:rPr>
          <w:b/>
          <w:bCs/>
        </w:rPr>
        <w:t xml:space="preserve">NIST AI Risk Management Framework (AI RMF) 1.0</w:t>
      </w:r>
      <w:r>
        <w:t xml:space="preserve"> </w:t>
      </w:r>
      <w:r>
        <w:t xml:space="preserve">(January 2023) — Particularly the GOVERN function (GV-1 through GV-6) and MAP function subcategories addressing data</w:t>
      </w:r>
    </w:p>
    <w:p>
      <w:pPr>
        <w:pStyle w:val="Compact"/>
        <w:numPr>
          <w:ilvl w:val="0"/>
          <w:numId w:val="1037"/>
        </w:numPr>
      </w:pPr>
      <w:r>
        <w:rPr>
          <w:b/>
          <w:bCs/>
        </w:rPr>
        <w:t xml:space="preserve">NIST AI 600-1: Generative AI Profile</w:t>
      </w:r>
      <w:r>
        <w:t xml:space="preserve"> </w:t>
      </w:r>
      <w:r>
        <w:t xml:space="preserve">(July 2024) — GAI-specific risk considerations</w:t>
      </w:r>
    </w:p>
    <w:p>
      <w:pPr>
        <w:pStyle w:val="Compact"/>
        <w:numPr>
          <w:ilvl w:val="0"/>
          <w:numId w:val="1037"/>
        </w:numPr>
      </w:pPr>
      <w:r>
        <w:rPr>
          <w:b/>
          <w:bCs/>
        </w:rPr>
        <w:t xml:space="preserve">ISO/IEC 42001:2023</w:t>
      </w:r>
      <w:r>
        <w:t xml:space="preserve"> </w:t>
      </w:r>
      <w:r>
        <w:t xml:space="preserve">— AI Management System requirements, particularly Clauses 5 (Leadership), 7 (Support), and 8 (Operation)</w:t>
      </w:r>
    </w:p>
    <w:p>
      <w:pPr>
        <w:pStyle w:val="Compact"/>
        <w:numPr>
          <w:ilvl w:val="0"/>
          <w:numId w:val="1037"/>
        </w:numPr>
      </w:pPr>
      <w:r>
        <w:rPr>
          <w:b/>
          <w:bCs/>
        </w:rPr>
        <w:t xml:space="preserve">ISO/IEC 27001:2022</w:t>
      </w:r>
      <w:r>
        <w:t xml:space="preserve"> </w:t>
      </w:r>
      <w:r>
        <w:t xml:space="preserve">— Information security management, referenced for security controls</w:t>
      </w:r>
    </w:p>
    <w:p>
      <w:pPr>
        <w:pStyle w:val="Compact"/>
        <w:numPr>
          <w:ilvl w:val="0"/>
          <w:numId w:val="1037"/>
        </w:numPr>
      </w:pPr>
      <w:r>
        <w:rPr>
          <w:b/>
          <w:bCs/>
        </w:rPr>
        <w:t xml:space="preserve">EU AI Act (Regulation 2024/1689)</w:t>
      </w:r>
      <w:r>
        <w:t xml:space="preserve"> </w:t>
      </w:r>
      <w:r>
        <w:t xml:space="preserve">— Particularly Article 10 (Data governance for high-risk AI systems) and Article 15 (Accuracy, robustness, cybersecurity)</w:t>
      </w:r>
    </w:p>
    <w:bookmarkEnd w:id="76"/>
    <w:bookmarkStart w:id="77" w:name="data-protection-laws"/>
    <w:p>
      <w:pPr>
        <w:pStyle w:val="Heading3"/>
      </w:pPr>
      <w:r>
        <w:t xml:space="preserve">15.2 Data Protection Laws</w:t>
      </w:r>
    </w:p>
    <w:p>
      <w:pPr>
        <w:pStyle w:val="Compact"/>
        <w:numPr>
          <w:ilvl w:val="0"/>
          <w:numId w:val="1038"/>
        </w:numPr>
      </w:pPr>
      <w:r>
        <w:rPr>
          <w:b/>
          <w:bCs/>
        </w:rPr>
        <w:t xml:space="preserve">General Data Protection Regulation (GDPR)</w:t>
      </w:r>
      <w:r>
        <w:t xml:space="preserve"> </w:t>
      </w:r>
      <w:r>
        <w:t xml:space="preserve">— Particularly Articles 5 (principles), 6 (lawful basis), 22 (automated decision-making), 25 (data protection by design), 32 (security), 35 (DPIAs)</w:t>
      </w:r>
    </w:p>
    <w:p>
      <w:pPr>
        <w:pStyle w:val="Compact"/>
        <w:numPr>
          <w:ilvl w:val="0"/>
          <w:numId w:val="1038"/>
        </w:numPr>
      </w:pPr>
      <w:r>
        <w:rPr>
          <w:b/>
          <w:bCs/>
        </w:rPr>
        <w:t xml:space="preserve">California Consumer Privacy Act (CCPA) / California Privacy Rights Act (CPRA)</w:t>
      </w:r>
      <w:r>
        <w:t xml:space="preserve"> </w:t>
      </w:r>
      <w:r>
        <w:t xml:space="preserve">— Consumer rights and business obligations</w:t>
      </w:r>
    </w:p>
    <w:p>
      <w:pPr>
        <w:pStyle w:val="Compact"/>
        <w:numPr>
          <w:ilvl w:val="0"/>
          <w:numId w:val="1038"/>
        </w:numPr>
      </w:pPr>
      <w:r>
        <w:rPr>
          <w:b/>
          <w:bCs/>
        </w:rPr>
        <w:t xml:space="preserve">Sector-specific:</w:t>
      </w:r>
      <w:r>
        <w:t xml:space="preserve"> </w:t>
      </w:r>
      <w:r>
        <w:t xml:space="preserve">HIPAA, GLBA, PCI-DSS, FCRA, and others as applicable to [COMPANY NAME]</w:t>
      </w:r>
    </w:p>
    <w:bookmarkEnd w:id="77"/>
    <w:bookmarkStart w:id="78" w:name="related-company-name-policies"/>
    <w:p>
      <w:pPr>
        <w:pStyle w:val="Heading3"/>
      </w:pPr>
      <w:r>
        <w:t xml:space="preserve">15.3 Related [COMPANY NAME] Policies</w:t>
      </w:r>
    </w:p>
    <w:p>
      <w:pPr>
        <w:pStyle w:val="Compact"/>
        <w:numPr>
          <w:ilvl w:val="0"/>
          <w:numId w:val="1039"/>
        </w:numPr>
      </w:pPr>
      <w:r>
        <w:t xml:space="preserve">AI Tool Inventory Policy (existing)</w:t>
      </w:r>
    </w:p>
    <w:p>
      <w:pPr>
        <w:pStyle w:val="Compact"/>
        <w:numPr>
          <w:ilvl w:val="0"/>
          <w:numId w:val="1039"/>
        </w:numPr>
      </w:pPr>
      <w:r>
        <w:t xml:space="preserve">AI Risk Register (existing)</w:t>
      </w:r>
    </w:p>
    <w:p>
      <w:pPr>
        <w:pStyle w:val="Compact"/>
        <w:numPr>
          <w:ilvl w:val="0"/>
          <w:numId w:val="1039"/>
        </w:numPr>
      </w:pPr>
      <w:r>
        <w:t xml:space="preserve">AI Incident Response Plan (existing)</w:t>
      </w:r>
    </w:p>
    <w:p>
      <w:pPr>
        <w:pStyle w:val="Compact"/>
        <w:numPr>
          <w:ilvl w:val="0"/>
          <w:numId w:val="1039"/>
        </w:numPr>
      </w:pPr>
      <w:r>
        <w:t xml:space="preserve">AI Vendor Risk Assessment Policy</w:t>
      </w:r>
    </w:p>
    <w:p>
      <w:pPr>
        <w:pStyle w:val="Compact"/>
        <w:numPr>
          <w:ilvl w:val="0"/>
          <w:numId w:val="1039"/>
        </w:numPr>
      </w:pPr>
      <w:r>
        <w:t xml:space="preserve">AI Model Risk Management Framework</w:t>
      </w:r>
    </w:p>
    <w:p>
      <w:pPr>
        <w:pStyle w:val="Compact"/>
        <w:numPr>
          <w:ilvl w:val="0"/>
          <w:numId w:val="1039"/>
        </w:numPr>
      </w:pPr>
      <w:r>
        <w:t xml:space="preserve">AI System Impact Assessment Policy</w:t>
      </w:r>
    </w:p>
    <w:p>
      <w:pPr>
        <w:pStyle w:val="Compact"/>
        <w:numPr>
          <w:ilvl w:val="0"/>
          <w:numId w:val="1039"/>
        </w:numPr>
      </w:pPr>
      <w:r>
        <w:t xml:space="preserve">AI Bias &amp; Fairness Testing Framework</w:t>
      </w:r>
    </w:p>
    <w:p>
      <w:pPr>
        <w:pStyle w:val="Compact"/>
        <w:numPr>
          <w:ilvl w:val="0"/>
          <w:numId w:val="1039"/>
        </w:numPr>
      </w:pPr>
      <w:r>
        <w:t xml:space="preserve">AI Training Data Provenance Log</w:t>
      </w:r>
    </w:p>
    <w:p>
      <w:pPr>
        <w:pStyle w:val="Compact"/>
        <w:numPr>
          <w:ilvl w:val="0"/>
          <w:numId w:val="1039"/>
        </w:numPr>
      </w:pPr>
      <w:r>
        <w:t xml:space="preserve">AI Access Control Policy</w:t>
      </w:r>
    </w:p>
    <w:p>
      <w:pPr>
        <w:pStyle w:val="Compact"/>
        <w:numPr>
          <w:ilvl w:val="0"/>
          <w:numId w:val="1039"/>
        </w:numPr>
      </w:pPr>
      <w:r>
        <w:t xml:space="preserve">AI Monitoring &amp; Logging Policy</w:t>
      </w:r>
    </w:p>
    <w:p>
      <w:pPr>
        <w:pStyle w:val="Compact"/>
        <w:numPr>
          <w:ilvl w:val="0"/>
          <w:numId w:val="1039"/>
        </w:numPr>
      </w:pPr>
      <w:r>
        <w:t xml:space="preserve">Information Security Policy</w:t>
      </w:r>
    </w:p>
    <w:p>
      <w:pPr>
        <w:pStyle w:val="Compact"/>
        <w:numPr>
          <w:ilvl w:val="0"/>
          <w:numId w:val="1039"/>
        </w:numPr>
      </w:pPr>
      <w:r>
        <w:t xml:space="preserve">Privacy Policy</w:t>
      </w:r>
    </w:p>
    <w:p>
      <w:pPr>
        <w:pStyle w:val="Compact"/>
        <w:numPr>
          <w:ilvl w:val="0"/>
          <w:numId w:val="1039"/>
        </w:numPr>
      </w:pPr>
      <w:r>
        <w:t xml:space="preserve">Data Retention Policy</w:t>
      </w:r>
    </w:p>
    <w:p>
      <w:r>
        <w:pict>
          <v:rect style="width:0;height:1.5pt" o:hralign="center" o:hrstd="t" o:hr="t"/>
        </w:pict>
      </w:r>
    </w:p>
    <w:bookmarkEnd w:id="78"/>
    <w:bookmarkEnd w:id="79"/>
    <w:bookmarkStart w:id="80" w:name="appendix-a-raci-matrix"/>
    <w:p>
      <w:pPr>
        <w:pStyle w:val="Heading2"/>
      </w:pPr>
      <w:r>
        <w:t xml:space="preserve">Appendix A: RACI Matrix</w:t>
      </w:r>
    </w:p>
    <w:p>
      <w:pPr>
        <w:pStyle w:val="FirstParagraph"/>
      </w:pPr>
      <w:r>
        <w:rPr>
          <w:i/>
          <w:iCs/>
        </w:rPr>
        <w:t xml:space="preserve">Guidance: Adjust the specific role names to match [COMPANY NAME]. Fill in based on actual organizational structure.</w:t>
      </w:r>
    </w:p>
    <w:tbl>
      <w:tblPr>
        <w:tblStyle w:val="Table"/>
        <w:tblW w:type="pct" w:w="5000"/>
        <w:tblLayout w:type="fixed"/>
        <w:tblLook w:firstRow="1" w:lastRow="0" w:firstColumn="0" w:lastColumn="0" w:noHBand="0" w:noVBand="0" w:val="0020"/>
      </w:tblPr>
      <w:tblGrid>
        <w:gridCol w:w="860"/>
        <w:gridCol w:w="1807"/>
        <w:gridCol w:w="1463"/>
        <w:gridCol w:w="1205"/>
        <w:gridCol w:w="1291"/>
        <w:gridCol w:w="1291"/>
      </w:tblGrid>
      <w:tr>
        <w:trPr>
          <w:tblHeader w:val="on"/>
        </w:trPr>
        <w:tc>
          <w:tcPr/>
          <w:p>
            <w:pPr>
              <w:pStyle w:val="Compact"/>
            </w:pPr>
            <w:r>
              <w:t xml:space="preserve">Activity</w:t>
            </w:r>
          </w:p>
        </w:tc>
        <w:tc>
          <w:tcPr/>
          <w:p>
            <w:pPr>
              <w:pStyle w:val="Compact"/>
            </w:pPr>
            <w:r>
              <w:t xml:space="preserve">Data Governance Lead</w:t>
            </w:r>
          </w:p>
        </w:tc>
        <w:tc>
          <w:tcPr/>
          <w:p>
            <w:pPr>
              <w:pStyle w:val="Compact"/>
            </w:pPr>
            <w:r>
              <w:t xml:space="preserve">AI System Owner</w:t>
            </w:r>
          </w:p>
        </w:tc>
        <w:tc>
          <w:tcPr/>
          <w:p>
            <w:pPr>
              <w:pStyle w:val="Compact"/>
            </w:pPr>
            <w:r>
              <w:t xml:space="preserve">Data Steward</w:t>
            </w:r>
          </w:p>
        </w:tc>
        <w:tc>
          <w:tcPr/>
          <w:p>
            <w:pPr>
              <w:pStyle w:val="Compact"/>
            </w:pPr>
            <w:r>
              <w:t xml:space="preserve">Security Lead</w:t>
            </w:r>
          </w:p>
        </w:tc>
        <w:tc>
          <w:tcPr/>
          <w:p>
            <w:pPr>
              <w:pStyle w:val="Compact"/>
            </w:pPr>
            <w:r>
              <w:t xml:space="preserve">Legal Liaison</w:t>
            </w:r>
          </w:p>
        </w:tc>
      </w:tr>
      <w:tr>
        <w:tc>
          <w:tcPr/>
          <w:p>
            <w:pPr>
              <w:pStyle w:val="Compact"/>
            </w:pPr>
            <w:r>
              <w:t xml:space="preserve">Approve new AI system</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Approve new AI vendor</w:t>
            </w:r>
          </w:p>
        </w:tc>
        <w:tc>
          <w:tcPr/>
          <w:p>
            <w:pPr>
              <w:pStyle w:val="Compact"/>
            </w:pPr>
            <w:r>
              <w:t xml:space="preserve">A</w:t>
            </w:r>
          </w:p>
        </w:tc>
        <w:tc>
          <w:tcPr/>
          <w:p>
            <w:pPr>
              <w:pStyle w:val="Compact"/>
            </w:pPr>
            <w:r>
              <w:t xml:space="preserve">I</w:t>
            </w:r>
          </w:p>
        </w:tc>
        <w:tc>
          <w:tcPr/>
          <w:p>
            <w:pPr>
              <w:pStyle w:val="Compact"/>
            </w:pPr>
            <w:r>
              <w:t xml:space="preserve">C</w:t>
            </w:r>
          </w:p>
        </w:tc>
        <w:tc>
          <w:tcPr/>
          <w:p>
            <w:pPr>
              <w:pStyle w:val="Compact"/>
            </w:pPr>
            <w:r>
              <w:t xml:space="preserve">R</w:t>
            </w:r>
          </w:p>
        </w:tc>
        <w:tc>
          <w:tcPr/>
          <w:p>
            <w:pPr>
              <w:pStyle w:val="Compact"/>
            </w:pPr>
            <w:r>
              <w:t xml:space="preserve">R</w:t>
            </w:r>
          </w:p>
        </w:tc>
      </w:tr>
      <w:tr>
        <w:tc>
          <w:tcPr/>
          <w:p>
            <w:pPr>
              <w:pStyle w:val="Compact"/>
            </w:pPr>
            <w:r>
              <w:t xml:space="preserve">Classify data</w:t>
            </w:r>
          </w:p>
        </w:tc>
        <w:tc>
          <w:tcPr/>
          <w:p>
            <w:pPr>
              <w:pStyle w:val="Compact"/>
            </w:pPr>
            <w:r>
              <w:t xml:space="preserve">C</w:t>
            </w:r>
          </w:p>
        </w:tc>
        <w:tc>
          <w:tcPr/>
          <w:p>
            <w:pPr>
              <w:pStyle w:val="Compact"/>
            </w:pPr>
            <w:r>
              <w:t xml:space="preserve">R</w:t>
            </w:r>
          </w:p>
        </w:tc>
        <w:tc>
          <w:tcPr/>
          <w:p>
            <w:pPr>
              <w:pStyle w:val="Compact"/>
            </w:pPr>
            <w:r>
              <w:t xml:space="preserve">A</w:t>
            </w:r>
          </w:p>
        </w:tc>
        <w:tc>
          <w:tcPr/>
          <w:p>
            <w:pPr>
              <w:pStyle w:val="Compact"/>
            </w:pPr>
            <w:r>
              <w:t xml:space="preserve">I</w:t>
            </w:r>
          </w:p>
        </w:tc>
        <w:tc>
          <w:tcPr/>
          <w:p>
            <w:pPr>
              <w:pStyle w:val="Compact"/>
            </w:pPr>
            <w:r>
              <w:t xml:space="preserve">I</w:t>
            </w:r>
          </w:p>
        </w:tc>
      </w:tr>
      <w:tr>
        <w:tc>
          <w:tcPr/>
          <w:p>
            <w:pPr>
              <w:pStyle w:val="Compact"/>
            </w:pPr>
            <w:r>
              <w:t xml:space="preserve">Respond to data subject request</w:t>
            </w:r>
          </w:p>
        </w:tc>
        <w:tc>
          <w:tcPr/>
          <w:p>
            <w:pPr>
              <w:pStyle w:val="Compact"/>
            </w:pPr>
            <w:r>
              <w:t xml:space="preserve">I</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C</w:t>
            </w:r>
          </w:p>
        </w:tc>
      </w:tr>
      <w:tr>
        <w:tc>
          <w:tcPr/>
          <w:p>
            <w:pPr>
              <w:pStyle w:val="Compact"/>
            </w:pPr>
            <w:r>
              <w:t xml:space="preserve">Investigate incident</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r>
      <w:tr>
        <w:tc>
          <w:tcPr/>
          <w:p>
            <w:pPr>
              <w:pStyle w:val="Compact"/>
            </w:pPr>
            <w:r>
              <w:t xml:space="preserve">Review policy</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Complete quarterly self-assessment</w:t>
            </w:r>
          </w:p>
        </w:tc>
        <w:tc>
          <w:tcPr/>
          <w:p>
            <w:pPr>
              <w:pStyle w:val="Compact"/>
            </w:pPr>
            <w:r>
              <w:t xml:space="preserve">I</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r>
    </w:tbl>
    <w:p>
      <w:pPr>
        <w:pStyle w:val="BodyText"/>
      </w:pPr>
      <w:r>
        <w:rPr>
          <w:i/>
          <w:iCs/>
        </w:rPr>
        <w:t xml:space="preserve">R = Responsible, A = Accountable, C = Consulted, I = Informed</w:t>
      </w:r>
    </w:p>
    <w:p>
      <w:r>
        <w:pict>
          <v:rect style="width:0;height:1.5pt" o:hralign="center" o:hrstd="t" o:hr="t"/>
        </w:pict>
      </w:r>
    </w:p>
    <w:bookmarkEnd w:id="80"/>
    <w:bookmarkStart w:id="81" w:name="Xa231cb6df92b27d9886b3c9eb1918018d34cbce"/>
    <w:p>
      <w:pPr>
        <w:pStyle w:val="Heading2"/>
      </w:pPr>
      <w:r>
        <w:t xml:space="preserve">Appendix B: Data Classification Decision Tree</w:t>
      </w:r>
    </w:p>
    <w:p>
      <w:pPr>
        <w:pStyle w:val="SourceCode"/>
      </w:pPr>
      <w:r>
        <w:rPr>
          <w:rStyle w:val="VerbatimChar"/>
        </w:rPr>
        <w:t xml:space="preserve">Is the data available publicly without restriction?</w:t>
      </w:r>
      <w:r>
        <w:br/>
      </w:r>
      <w:r>
        <w:rPr>
          <w:rStyle w:val="VerbatimChar"/>
        </w:rPr>
        <w:t xml:space="preserve">├── YES → Tier 1 (Public)</w:t>
      </w:r>
      <w:r>
        <w:br/>
      </w:r>
      <w:r>
        <w:rPr>
          <w:rStyle w:val="VerbatimChar"/>
        </w:rPr>
        <w:t xml:space="preserve">└── NO</w:t>
      </w:r>
      <w:r>
        <w:br/>
      </w:r>
      <w:r>
        <w:rPr>
          <w:rStyle w:val="VerbatimChar"/>
        </w:rPr>
        <w:t xml:space="preserve">    │</w:t>
      </w:r>
      <w:r>
        <w:br/>
      </w:r>
      <w:r>
        <w:rPr>
          <w:rStyle w:val="VerbatimChar"/>
        </w:rPr>
        <w:t xml:space="preserve">    Does the data include personally identifiable information (PII)?</w:t>
      </w:r>
      <w:r>
        <w:br/>
      </w:r>
      <w:r>
        <w:rPr>
          <w:rStyle w:val="VerbatimChar"/>
        </w:rPr>
        <w:t xml:space="preserve">    ├── YES</w:t>
      </w:r>
      <w:r>
        <w:br/>
      </w:r>
      <w:r>
        <w:rPr>
          <w:rStyle w:val="VerbatimChar"/>
        </w:rPr>
        <w:t xml:space="preserve">    │   │</w:t>
      </w:r>
      <w:r>
        <w:br/>
      </w:r>
      <w:r>
        <w:rPr>
          <w:rStyle w:val="VerbatimChar"/>
        </w:rPr>
        <w:t xml:space="preserve">    │   Is the PII subject to specific regulatory protection?</w:t>
      </w:r>
      <w:r>
        <w:br/>
      </w:r>
      <w:r>
        <w:rPr>
          <w:rStyle w:val="VerbatimChar"/>
        </w:rPr>
        <w:t xml:space="preserve">    │   │   (HIPAA, PCI, GLBA, biometrics, minors, etc.)</w:t>
      </w:r>
      <w:r>
        <w:br/>
      </w:r>
      <w:r>
        <w:rPr>
          <w:rStyle w:val="VerbatimChar"/>
        </w:rPr>
        <w:t xml:space="preserve">    │   ├── YES → Tier 5 (Regulated) — special handling required</w:t>
      </w:r>
      <w:r>
        <w:br/>
      </w:r>
      <w:r>
        <w:rPr>
          <w:rStyle w:val="VerbatimChar"/>
        </w:rPr>
        <w:t xml:space="preserve">    │   └── NO</w:t>
      </w:r>
      <w:r>
        <w:br/>
      </w:r>
      <w:r>
        <w:rPr>
          <w:rStyle w:val="VerbatimChar"/>
        </w:rPr>
        <w:t xml:space="preserve">    │       │</w:t>
      </w:r>
      <w:r>
        <w:br/>
      </w:r>
      <w:r>
        <w:rPr>
          <w:rStyle w:val="VerbatimChar"/>
        </w:rPr>
        <w:t xml:space="preserve">    │       Does the data include sensitive attributes?</w:t>
      </w:r>
      <w:r>
        <w:br/>
      </w:r>
      <w:r>
        <w:rPr>
          <w:rStyle w:val="VerbatimChar"/>
        </w:rPr>
        <w:t xml:space="preserve">    │       │   (financial account, credentials, health, etc.)</w:t>
      </w:r>
      <w:r>
        <w:br/>
      </w:r>
      <w:r>
        <w:rPr>
          <w:rStyle w:val="VerbatimChar"/>
        </w:rPr>
        <w:t xml:space="preserve">    │       ├── YES → Tier 4 (Sensitive PII)</w:t>
      </w:r>
      <w:r>
        <w:br/>
      </w:r>
      <w:r>
        <w:rPr>
          <w:rStyle w:val="VerbatimChar"/>
        </w:rPr>
        <w:t xml:space="preserve">    │       └── NO → Tier 3 (Customer/Personal)</w:t>
      </w:r>
      <w:r>
        <w:br/>
      </w:r>
      <w:r>
        <w:rPr>
          <w:rStyle w:val="VerbatimChar"/>
        </w:rPr>
        <w:t xml:space="preserve">    │</w:t>
      </w:r>
      <w:r>
        <w:br/>
      </w:r>
      <w:r>
        <w:rPr>
          <w:rStyle w:val="VerbatimChar"/>
        </w:rPr>
        <w:t xml:space="preserve">    └── NO</w:t>
      </w:r>
      <w:r>
        <w:br/>
      </w:r>
      <w:r>
        <w:rPr>
          <w:rStyle w:val="VerbatimChar"/>
        </w:rPr>
        <w:t xml:space="preserve">        │</w:t>
      </w:r>
      <w:r>
        <w:br/>
      </w:r>
      <w:r>
        <w:rPr>
          <w:rStyle w:val="VerbatimChar"/>
        </w:rPr>
        <w:t xml:space="preserve">        Is the data confidential to [COMPANY NAME]?</w:t>
      </w:r>
      <w:r>
        <w:br/>
      </w:r>
      <w:r>
        <w:rPr>
          <w:rStyle w:val="VerbatimChar"/>
        </w:rPr>
        <w:t xml:space="preserve">        ├── YES → Tier 2 (Internal)</w:t>
      </w:r>
      <w:r>
        <w:br/>
      </w:r>
      <w:r>
        <w:rPr>
          <w:rStyle w:val="VerbatimChar"/>
        </w:rPr>
        <w:t xml:space="preserve">        └── NO → Tier 1 (Public)</w:t>
      </w:r>
    </w:p>
    <w:p>
      <w:r>
        <w:pict>
          <v:rect style="width:0;height:1.5pt" o:hralign="center" o:hrstd="t" o:hr="t"/>
        </w:pict>
      </w:r>
    </w:p>
    <w:bookmarkEnd w:id="81"/>
    <w:bookmarkStart w:id="82" w:name="appendix-c-ai-vendor-approval-checklist"/>
    <w:p>
      <w:pPr>
        <w:pStyle w:val="Heading2"/>
      </w:pPr>
      <w:r>
        <w:t xml:space="preserve">Appendix C: AI Vendor Approval Checklist</w:t>
      </w:r>
    </w:p>
    <w:p>
      <w:pPr>
        <w:pStyle w:val="Compact"/>
        <w:numPr>
          <w:ilvl w:val="0"/>
          <w:numId w:val="1040"/>
        </w:numPr>
      </w:pPr>
      <w:r>
        <w:t xml:space="preserve">Business justification documented</w:t>
      </w:r>
    </w:p>
    <w:p>
      <w:pPr>
        <w:pStyle w:val="Compact"/>
        <w:numPr>
          <w:ilvl w:val="0"/>
          <w:numId w:val="1041"/>
        </w:numPr>
      </w:pPr>
      <w:r>
        <w:t xml:space="preserve">Data categories and volumes identified</w:t>
      </w:r>
    </w:p>
    <w:p>
      <w:pPr>
        <w:pStyle w:val="Compact"/>
        <w:numPr>
          <w:ilvl w:val="0"/>
          <w:numId w:val="1042"/>
        </w:numPr>
      </w:pPr>
      <w:r>
        <w:t xml:space="preserve">Data classification determined (highest tier)</w:t>
      </w:r>
    </w:p>
    <w:p>
      <w:pPr>
        <w:pStyle w:val="Compact"/>
        <w:numPr>
          <w:ilvl w:val="0"/>
          <w:numId w:val="1043"/>
        </w:numPr>
      </w:pPr>
      <w:r>
        <w:t xml:space="preserve">Vendor security certifications reviewed (SOC 2, ISO 27001, or equivalent)</w:t>
      </w:r>
    </w:p>
    <w:p>
      <w:pPr>
        <w:pStyle w:val="Compact"/>
        <w:numPr>
          <w:ilvl w:val="0"/>
          <w:numId w:val="1044"/>
        </w:numPr>
      </w:pPr>
      <w:r>
        <w:t xml:space="preserve">Data Processing Agreement obtained</w:t>
      </w:r>
    </w:p>
    <w:p>
      <w:pPr>
        <w:pStyle w:val="Compact"/>
        <w:numPr>
          <w:ilvl w:val="0"/>
          <w:numId w:val="1045"/>
        </w:numPr>
      </w:pPr>
      <w:r>
        <w:t xml:space="preserve">Model training practices confirmed (does vendor train on customer data?)</w:t>
      </w:r>
    </w:p>
    <w:p>
      <w:pPr>
        <w:pStyle w:val="Compact"/>
        <w:numPr>
          <w:ilvl w:val="0"/>
          <w:numId w:val="1046"/>
        </w:numPr>
      </w:pPr>
      <w:r>
        <w:t xml:space="preserve">Sub-processor list obtained</w:t>
      </w:r>
    </w:p>
    <w:p>
      <w:pPr>
        <w:pStyle w:val="Compact"/>
        <w:numPr>
          <w:ilvl w:val="0"/>
          <w:numId w:val="1047"/>
        </w:numPr>
      </w:pPr>
      <w:r>
        <w:t xml:space="preserve">Data residency confirmed</w:t>
      </w:r>
    </w:p>
    <w:p>
      <w:pPr>
        <w:pStyle w:val="Compact"/>
        <w:numPr>
          <w:ilvl w:val="0"/>
          <w:numId w:val="1048"/>
        </w:numPr>
      </w:pPr>
      <w:r>
        <w:t xml:space="preserve">Breach notification terms confirmed (≤72 hours)</w:t>
      </w:r>
    </w:p>
    <w:p>
      <w:pPr>
        <w:pStyle w:val="Compact"/>
        <w:numPr>
          <w:ilvl w:val="0"/>
          <w:numId w:val="1049"/>
        </w:numPr>
      </w:pPr>
      <w:r>
        <w:t xml:space="preserve">Data return/deletion process documented</w:t>
      </w:r>
    </w:p>
    <w:p>
      <w:pPr>
        <w:pStyle w:val="Compact"/>
        <w:numPr>
          <w:ilvl w:val="0"/>
          <w:numId w:val="1050"/>
        </w:numPr>
      </w:pPr>
      <w:r>
        <w:t xml:space="preserve">Contract signed by authorized signatory</w:t>
      </w:r>
    </w:p>
    <w:p>
      <w:pPr>
        <w:pStyle w:val="Compact"/>
        <w:numPr>
          <w:ilvl w:val="0"/>
          <w:numId w:val="1051"/>
        </w:numPr>
      </w:pPr>
      <w:r>
        <w:t xml:space="preserve">Added to AI Systems Inventory</w:t>
      </w:r>
    </w:p>
    <w:p>
      <w:pPr>
        <w:pStyle w:val="Compact"/>
        <w:numPr>
          <w:ilvl w:val="0"/>
          <w:numId w:val="1052"/>
        </w:numPr>
      </w:pPr>
      <w:r>
        <w:t xml:space="preserve">System Owner assigned</w:t>
      </w:r>
    </w:p>
    <w:p>
      <w:pPr>
        <w:pStyle w:val="Compact"/>
        <w:numPr>
          <w:ilvl w:val="0"/>
          <w:numId w:val="1053"/>
        </w:numPr>
      </w:pPr>
      <w:r>
        <w:t xml:space="preserve">Initial user access provisioned per Access Control Policy</w:t>
      </w:r>
    </w:p>
    <w:p>
      <w:pPr>
        <w:pStyle w:val="Compact"/>
        <w:numPr>
          <w:ilvl w:val="0"/>
          <w:numId w:val="1054"/>
        </w:numPr>
      </w:pPr>
      <w:r>
        <w:t xml:space="preserve">Monitoring configured per Monitoring &amp; Logging Policy</w:t>
      </w:r>
    </w:p>
    <w:p>
      <w:r>
        <w:pict>
          <v:rect style="width:0;height:1.5pt" o:hralign="center" o:hrstd="t" o:hr="t"/>
        </w:pict>
      </w:r>
    </w:p>
    <w:bookmarkEnd w:id="82"/>
    <w:bookmarkStart w:id="83" w:name="X937970f8692f47d8ca6be2a8a52bffe6e04bde5"/>
    <w:p>
      <w:pPr>
        <w:pStyle w:val="Heading2"/>
      </w:pPr>
      <w:r>
        <w:t xml:space="preserve">Appendix D: Data Processing Agreement — Topics to Negotiate</w:t>
      </w:r>
    </w:p>
    <w:p>
      <w:pPr>
        <w:pStyle w:val="FirstParagraph"/>
      </w:pPr>
      <w:r>
        <w:rPr>
          <w:i/>
          <w:iCs/>
        </w:rPr>
        <w:t xml:space="preserve">Guidance: Data Processing Agreements (DPAs) with AI vendors involve substantive legal drafting best handled by qualified counsel. This appendix outlines topics [COMPANY NAME] should raise during DPA negotiation, without providing specific contract language. Working from the vendor’s proposed DPA, [COMPANY NAME]’s legal reviewer should confirm each topic below is addressed adequately.</w:t>
      </w:r>
    </w:p>
    <w:p>
      <w:pPr>
        <w:pStyle w:val="BodyText"/>
      </w:pPr>
      <w:r>
        <w:rPr>
          <w:b/>
          <w:bCs/>
        </w:rPr>
        <w:t xml:space="preserve">Training use of customer data:</w:t>
      </w:r>
      <w:r>
        <w:t xml:space="preserve"> </w:t>
      </w:r>
      <w:r>
        <w:t xml:space="preserve">Explicit terms on whether the vendor may use [COMPANY NAME] inputs, prompts, or outputs to train the vendor’s models or third-party models. [COMPANY NAME]’s baseline expectation is that training use requires explicit written consent.</w:t>
      </w:r>
    </w:p>
    <w:p>
      <w:pPr>
        <w:pStyle w:val="BodyText"/>
      </w:pPr>
      <w:r>
        <w:rPr>
          <w:b/>
          <w:bCs/>
        </w:rPr>
        <w:t xml:space="preserve">Sub-processors:</w:t>
      </w:r>
      <w:r>
        <w:t xml:space="preserve"> </w:t>
      </w:r>
      <w:r>
        <w:t xml:space="preserve">Requirement to disclose all sub-processors involved in delivering the AI service, with advance notification (typically 30 days) before new sub-processors are engaged. Customer’s right to object to new sub-processors.</w:t>
      </w:r>
    </w:p>
    <w:p>
      <w:pPr>
        <w:pStyle w:val="BodyText"/>
      </w:pPr>
      <w:r>
        <w:rPr>
          <w:b/>
          <w:bCs/>
        </w:rPr>
        <w:t xml:space="preserve">Data location and residency:</w:t>
      </w:r>
      <w:r>
        <w:t xml:space="preserve"> </w:t>
      </w:r>
      <w:r>
        <w:t xml:space="preserve">Where data may be processed (geographic regions), where it may be stored, and any restrictions honored for customer commitments (e.g., EU data staying in EU).</w:t>
      </w:r>
    </w:p>
    <w:p>
      <w:pPr>
        <w:pStyle w:val="BodyText"/>
      </w:pPr>
      <w:r>
        <w:rPr>
          <w:b/>
          <w:bCs/>
        </w:rPr>
        <w:t xml:space="preserve">Data retention and deletion:</w:t>
      </w:r>
      <w:r>
        <w:t xml:space="preserve"> </w:t>
      </w:r>
      <w:r>
        <w:t xml:space="preserve">Retention periods for prompts, completions, logs, and any derived data. Deletion procedures on customer request and at contract termination. Certification of deletion when required.</w:t>
      </w:r>
    </w:p>
    <w:p>
      <w:pPr>
        <w:pStyle w:val="BodyText"/>
      </w:pPr>
      <w:r>
        <w:rPr>
          <w:b/>
          <w:bCs/>
        </w:rPr>
        <w:t xml:space="preserve">Breach notification:</w:t>
      </w:r>
      <w:r>
        <w:t xml:space="preserve"> </w:t>
      </w:r>
      <w:r>
        <w:t xml:space="preserve">Timeframe for notifying [COMPANY NAME] of security incidents (baseline expectation: 72 hours from discovery). Scope of what must be communicated.</w:t>
      </w:r>
    </w:p>
    <w:p>
      <w:pPr>
        <w:pStyle w:val="BodyText"/>
      </w:pPr>
      <w:r>
        <w:rPr>
          <w:b/>
          <w:bCs/>
        </w:rPr>
        <w:t xml:space="preserve">Model change notification:</w:t>
      </w:r>
      <w:r>
        <w:t xml:space="preserve"> </w:t>
      </w:r>
      <w:r>
        <w:t xml:space="preserve">Advance notice when the vendor materially changes underlying models, particularly when changes affect service behavior or data handling.</w:t>
      </w:r>
    </w:p>
    <w:p>
      <w:pPr>
        <w:pStyle w:val="BodyText"/>
      </w:pPr>
      <w:r>
        <w:rPr>
          <w:b/>
          <w:bCs/>
        </w:rPr>
        <w:t xml:space="preserve">Audit rights:</w:t>
      </w:r>
      <w:r>
        <w:t xml:space="preserve"> </w:t>
      </w:r>
      <w:r>
        <w:t xml:space="preserve">Whether [COMPANY NAME] may audit the vendor’s practices, either directly or through third-party attestations (SOC 2, ISO 27001 reports).</w:t>
      </w:r>
    </w:p>
    <w:p>
      <w:pPr>
        <w:pStyle w:val="BodyText"/>
      </w:pPr>
      <w:r>
        <w:rPr>
          <w:b/>
          <w:bCs/>
        </w:rPr>
        <w:t xml:space="preserve">Cross-border transfer mechanisms:</w:t>
      </w:r>
      <w:r>
        <w:t xml:space="preserve"> </w:t>
      </w:r>
      <w:r>
        <w:t xml:space="preserve">For international data transfers, applicable transfer mechanisms (Standard Contractual Clauses, adequacy decisions, EU-US Data Privacy Framework, etc.).</w:t>
      </w:r>
    </w:p>
    <w:p>
      <w:pPr>
        <w:pStyle w:val="BodyText"/>
      </w:pPr>
      <w:r>
        <w:rPr>
          <w:b/>
          <w:bCs/>
        </w:rPr>
        <w:t xml:space="preserve">Liability and indemnification:</w:t>
      </w:r>
      <w:r>
        <w:t xml:space="preserve"> </w:t>
      </w:r>
      <w:r>
        <w:t xml:space="preserve">Vendor’s obligations if their conduct causes [COMPANY NAME] harm (data breach, IP infringement, regulatory violation).</w:t>
      </w:r>
    </w:p>
    <w:p>
      <w:pPr>
        <w:pStyle w:val="BodyText"/>
      </w:pPr>
      <w:r>
        <w:rPr>
          <w:b/>
          <w:bCs/>
        </w:rPr>
        <w:t xml:space="preserve">Insurance:</w:t>
      </w:r>
      <w:r>
        <w:t xml:space="preserve"> </w:t>
      </w:r>
      <w:r>
        <w:t xml:space="preserve">Vendor insurance coverage appropriate to the data tier and volume being processed.</w:t>
      </w:r>
    </w:p>
    <w:p>
      <w:pPr>
        <w:pStyle w:val="BodyText"/>
      </w:pPr>
      <w:r>
        <w:rPr>
          <w:b/>
          <w:bCs/>
        </w:rPr>
        <w:t xml:space="preserve">Data return at termination:</w:t>
      </w:r>
      <w:r>
        <w:t xml:space="preserve"> </w:t>
      </w:r>
      <w:r>
        <w:t xml:space="preserve">Format, timeframe, and confirmation procedures for returning [COMPANY NAME] data at contract end.</w:t>
      </w:r>
    </w:p>
    <w:p>
      <w:pPr>
        <w:pStyle w:val="BodyText"/>
      </w:pPr>
      <w:r>
        <w:rPr>
          <w:b/>
          <w:bCs/>
        </w:rPr>
        <w:t xml:space="preserve">Confidentiality obligations:</w:t>
      </w:r>
      <w:r>
        <w:t xml:space="preserve"> </w:t>
      </w:r>
      <w:r>
        <w:t xml:space="preserve">Vendor’s confidentiality commitments regarding [COMPANY NAME] data, model outputs, and business information exchanged.</w:t>
      </w:r>
    </w:p>
    <w:p>
      <w:pPr>
        <w:pStyle w:val="BodyText"/>
      </w:pPr>
      <w:r>
        <w:t xml:space="preserve">For each topic, [COMPANY NAME]’s legal reviewer should evaluate whether the vendor’s proposed terms are adequate, whether counter-proposals are needed, and whether the resulting terms match [COMPANY NAME]’s risk tolerance for the specific data tier involved.</w:t>
      </w:r>
    </w:p>
    <w:p>
      <w:r>
        <w:pict>
          <v:rect style="width:0;height:1.5pt" o:hralign="center" o:hrstd="t" o:hr="t"/>
        </w:pict>
      </w:r>
    </w:p>
    <w:bookmarkEnd w:id="83"/>
    <w:bookmarkStart w:id="84" w:name="X43310c6abdd231ba57a1b611c417a3c503a607e"/>
    <w:p>
      <w:pPr>
        <w:pStyle w:val="Heading2"/>
      </w:pPr>
      <w:r>
        <w:t xml:space="preserve">Appendix E: Data Subject Request Response Template</w:t>
      </w:r>
    </w:p>
    <w:p>
      <w:pPr>
        <w:pStyle w:val="FirstParagraph"/>
      </w:pPr>
      <w:r>
        <w:rPr>
          <w:b/>
          <w:bCs/>
        </w:rPr>
        <w:t xml:space="preserve">Request Received</w:t>
      </w:r>
    </w:p>
    <w:p>
      <w:pPr>
        <w:pStyle w:val="Compact"/>
        <w:numPr>
          <w:ilvl w:val="0"/>
          <w:numId w:val="1055"/>
        </w:numPr>
      </w:pPr>
      <w:r>
        <w:t xml:space="preserve">Date received: [DATE]</w:t>
      </w:r>
    </w:p>
    <w:p>
      <w:pPr>
        <w:pStyle w:val="Compact"/>
        <w:numPr>
          <w:ilvl w:val="0"/>
          <w:numId w:val="1055"/>
        </w:numPr>
      </w:pPr>
      <w:r>
        <w:t xml:space="preserve">Requestor: [NAME / EMAIL]</w:t>
      </w:r>
    </w:p>
    <w:p>
      <w:pPr>
        <w:pStyle w:val="Compact"/>
        <w:numPr>
          <w:ilvl w:val="0"/>
          <w:numId w:val="1055"/>
        </w:numPr>
      </w:pPr>
      <w:r>
        <w:t xml:space="preserve">Request type: [ACCESS / DELETION / OBJECTION / OTHER]</w:t>
      </w:r>
    </w:p>
    <w:p>
      <w:pPr>
        <w:pStyle w:val="Compact"/>
        <w:numPr>
          <w:ilvl w:val="0"/>
          <w:numId w:val="1055"/>
        </w:numPr>
      </w:pPr>
      <w:r>
        <w:t xml:space="preserve">Verified identity: [YES / NO — method]</w:t>
      </w:r>
    </w:p>
    <w:p>
      <w:pPr>
        <w:pStyle w:val="Compact"/>
        <w:numPr>
          <w:ilvl w:val="0"/>
          <w:numId w:val="1055"/>
        </w:numPr>
      </w:pPr>
      <w:r>
        <w:t xml:space="preserve">Assigned to: [NAME]</w:t>
      </w:r>
    </w:p>
    <w:p>
      <w:pPr>
        <w:pStyle w:val="FirstParagraph"/>
      </w:pPr>
      <w:r>
        <w:rPr>
          <w:b/>
          <w:bCs/>
        </w:rPr>
        <w:t xml:space="preserve">Investigation</w:t>
      </w:r>
    </w:p>
    <w:p>
      <w:pPr>
        <w:pStyle w:val="Compact"/>
        <w:numPr>
          <w:ilvl w:val="0"/>
          <w:numId w:val="1056"/>
        </w:numPr>
      </w:pPr>
      <w:r>
        <w:t xml:space="preserve">AI systems potentially involved: [LIST]</w:t>
      </w:r>
    </w:p>
    <w:p>
      <w:pPr>
        <w:pStyle w:val="Compact"/>
        <w:numPr>
          <w:ilvl w:val="0"/>
          <w:numId w:val="1056"/>
        </w:numPr>
      </w:pPr>
      <w:r>
        <w:t xml:space="preserve">Data located: [SUMMARY]</w:t>
      </w:r>
    </w:p>
    <w:p>
      <w:pPr>
        <w:pStyle w:val="Compact"/>
        <w:numPr>
          <w:ilvl w:val="0"/>
          <w:numId w:val="1056"/>
        </w:numPr>
      </w:pPr>
      <w:r>
        <w:t xml:space="preserve">Legal analysis: [BASIS FOR RESPONSE, LIMITATIONS]</w:t>
      </w:r>
    </w:p>
    <w:p>
      <w:pPr>
        <w:pStyle w:val="FirstParagraph"/>
      </w:pPr>
      <w:r>
        <w:rPr>
          <w:b/>
          <w:bCs/>
        </w:rPr>
        <w:t xml:space="preserve">Response</w:t>
      </w:r>
    </w:p>
    <w:p>
      <w:pPr>
        <w:pStyle w:val="Compact"/>
        <w:numPr>
          <w:ilvl w:val="0"/>
          <w:numId w:val="1057"/>
        </w:numPr>
      </w:pPr>
      <w:r>
        <w:t xml:space="preserve">Response sent: [DATE]</w:t>
      </w:r>
    </w:p>
    <w:p>
      <w:pPr>
        <w:pStyle w:val="Compact"/>
        <w:numPr>
          <w:ilvl w:val="0"/>
          <w:numId w:val="1057"/>
        </w:numPr>
      </w:pPr>
      <w:r>
        <w:t xml:space="preserve">Actions taken: [LIST]</w:t>
      </w:r>
    </w:p>
    <w:p>
      <w:pPr>
        <w:pStyle w:val="Compact"/>
        <w:numPr>
          <w:ilvl w:val="0"/>
          <w:numId w:val="1057"/>
        </w:numPr>
      </w:pPr>
      <w:r>
        <w:t xml:space="preserve">Limitations disclosed: [IF ANY]</w:t>
      </w:r>
    </w:p>
    <w:p>
      <w:pPr>
        <w:pStyle w:val="Compact"/>
        <w:numPr>
          <w:ilvl w:val="0"/>
          <w:numId w:val="1057"/>
        </w:numPr>
      </w:pPr>
      <w:r>
        <w:t xml:space="preserve">Provider coordination needed: [YES / NO]</w:t>
      </w:r>
    </w:p>
    <w:p>
      <w:pPr>
        <w:pStyle w:val="FirstParagraph"/>
      </w:pPr>
      <w:r>
        <w:rPr>
          <w:b/>
          <w:bCs/>
        </w:rPr>
        <w:t xml:space="preserve">Follow-up</w:t>
      </w:r>
    </w:p>
    <w:p>
      <w:pPr>
        <w:pStyle w:val="Compact"/>
        <w:numPr>
          <w:ilvl w:val="0"/>
          <w:numId w:val="1058"/>
        </w:numPr>
      </w:pPr>
      <w:r>
        <w:t xml:space="preserve">Provider deletion confirmations received: [DATES]</w:t>
      </w:r>
    </w:p>
    <w:p>
      <w:pPr>
        <w:pStyle w:val="Compact"/>
        <w:numPr>
          <w:ilvl w:val="0"/>
          <w:numId w:val="1058"/>
        </w:numPr>
      </w:pPr>
      <w:r>
        <w:t xml:space="preserve">Model implications assessed: [SUMMARY]</w:t>
      </w:r>
    </w:p>
    <w:p>
      <w:pPr>
        <w:pStyle w:val="Compact"/>
        <w:numPr>
          <w:ilvl w:val="0"/>
          <w:numId w:val="1058"/>
        </w:numPr>
      </w:pPr>
      <w:r>
        <w:t xml:space="preserve">Case closed: [DATE]</w:t>
      </w:r>
    </w:p>
    <w:p>
      <w:r>
        <w:pict>
          <v:rect style="width:0;height:1.5pt" o:hralign="center" o:hrstd="t" o:hr="t"/>
        </w:pict>
      </w:r>
    </w:p>
    <w:bookmarkEnd w:id="84"/>
    <w:bookmarkStart w:id="87" w:name="Xd010863f0bb30257f21a830874f038e111a3dc5"/>
    <w:p>
      <w:pPr>
        <w:pStyle w:val="Heading2"/>
      </w:pPr>
      <w:r>
        <w:t xml:space="preserve">Appendix F: Quarterly Data Governance Audit Checklist</w:t>
      </w:r>
    </w:p>
    <w:p>
      <w:pPr>
        <w:pStyle w:val="FirstParagraph"/>
      </w:pPr>
      <w:r>
        <w:rPr>
          <w:i/>
          <w:iCs/>
        </w:rPr>
        <w:t xml:space="preserve">Guidance: This checklist is presented in two tiers. The</w:t>
      </w:r>
      <w:r>
        <w:rPr>
          <w:i/>
          <w:iCs/>
        </w:rPr>
        <w:t xml:space="preserve"> </w:t>
      </w:r>
      <w:r>
        <w:rPr>
          <w:b/>
          <w:bCs/>
          <w:i/>
          <w:iCs/>
        </w:rPr>
        <w:t xml:space="preserve">Essential Checklist</w:t>
      </w:r>
      <w:r>
        <w:rPr>
          <w:i/>
          <w:iCs/>
        </w:rPr>
        <w:t xml:space="preserve"> </w:t>
      </w:r>
      <w:r>
        <w:rPr>
          <w:i/>
          <w:iCs/>
        </w:rPr>
        <w:t xml:space="preserve">is the minimum recommended review for smaller teams (typically under 50 employees). The</w:t>
      </w:r>
      <w:r>
        <w:rPr>
          <w:i/>
          <w:iCs/>
        </w:rPr>
        <w:t xml:space="preserve"> </w:t>
      </w:r>
      <w:r>
        <w:rPr>
          <w:b/>
          <w:bCs/>
          <w:i/>
          <w:iCs/>
        </w:rPr>
        <w:t xml:space="preserve">Extended Checklist</w:t>
      </w:r>
      <w:r>
        <w:rPr>
          <w:i/>
          <w:iCs/>
        </w:rPr>
        <w:t xml:space="preserve"> </w:t>
      </w:r>
      <w:r>
        <w:rPr>
          <w:i/>
          <w:iCs/>
        </w:rPr>
        <w:t xml:space="preserve">adds items appropriate for larger, more mature governance programs. Companies should start with Essential and add Extended items as their program matures. Documenting completion — even at Essential tier — is what matters most.</w:t>
      </w:r>
    </w:p>
    <w:bookmarkStart w:id="85" w:name="essential-checklist-recommended-minimum"/>
    <w:p>
      <w:pPr>
        <w:pStyle w:val="Heading3"/>
      </w:pPr>
      <w:r>
        <w:t xml:space="preserve">Essential Checklist (recommended minimum)</w:t>
      </w:r>
    </w:p>
    <w:p>
      <w:pPr>
        <w:pStyle w:val="FirstParagraph"/>
      </w:pPr>
      <w:r>
        <w:rPr>
          <w:b/>
          <w:bCs/>
        </w:rPr>
        <w:t xml:space="preserve">AI Systems Inventory</w:t>
      </w:r>
      <w:r>
        <w:t xml:space="preserve"> </w:t>
      </w:r>
      <w:r>
        <w:t xml:space="preserve">- [ ] Inventory reviewed for accuracy</w:t>
      </w:r>
      <w:r>
        <w:t xml:space="preserve"> </w:t>
      </w:r>
      <w:r>
        <w:t xml:space="preserve">- [ ] New AI systems added during period are documented with owner and data classification</w:t>
      </w:r>
    </w:p>
    <w:p>
      <w:pPr>
        <w:pStyle w:val="BodyText"/>
      </w:pPr>
      <w:r>
        <w:rPr>
          <w:b/>
          <w:bCs/>
        </w:rPr>
        <w:t xml:space="preserve">Vendor Management</w:t>
      </w:r>
      <w:r>
        <w:t xml:space="preserve"> </w:t>
      </w:r>
      <w:r>
        <w:t xml:space="preserve">- [ ] All active vendors have current DPAs</w:t>
      </w:r>
      <w:r>
        <w:t xml:space="preserve"> </w:t>
      </w:r>
      <w:r>
        <w:t xml:space="preserve">- [ ] Any new vendors added during period were approved per workflow</w:t>
      </w:r>
    </w:p>
    <w:p>
      <w:pPr>
        <w:pStyle w:val="BodyText"/>
      </w:pPr>
      <w:r>
        <w:rPr>
          <w:b/>
          <w:bCs/>
        </w:rPr>
        <w:t xml:space="preserve">Data Handling</w:t>
      </w:r>
      <w:r>
        <w:t xml:space="preserve"> </w:t>
      </w:r>
      <w:r>
        <w:t xml:space="preserve">- [ ] Prohibited use monitoring reviewed (any incidents or near-misses)</w:t>
      </w:r>
      <w:r>
        <w:t xml:space="preserve"> </w:t>
      </w:r>
      <w:r>
        <w:t xml:space="preserve">- [ ] Shadow AI detection reviewed (any unauthorized AI use discovered)</w:t>
      </w:r>
    </w:p>
    <w:p>
      <w:pPr>
        <w:pStyle w:val="BodyText"/>
      </w:pPr>
      <w:r>
        <w:rPr>
          <w:b/>
          <w:bCs/>
        </w:rPr>
        <w:t xml:space="preserve">Data Subject Requests</w:t>
      </w:r>
      <w:r>
        <w:t xml:space="preserve"> </w:t>
      </w:r>
      <w:r>
        <w:t xml:space="preserve">- [ ] All requests received during period responded within timeframe</w:t>
      </w:r>
    </w:p>
    <w:p>
      <w:pPr>
        <w:pStyle w:val="BodyText"/>
      </w:pPr>
      <w:r>
        <w:rPr>
          <w:b/>
          <w:bCs/>
        </w:rPr>
        <w:t xml:space="preserve">Incidents</w:t>
      </w:r>
      <w:r>
        <w:t xml:space="preserve"> </w:t>
      </w:r>
      <w:r>
        <w:t xml:space="preserve">- [ ] All incidents from the quarter documented and closed</w:t>
      </w:r>
      <w:r>
        <w:t xml:space="preserve"> </w:t>
      </w:r>
      <w:r>
        <w:t xml:space="preserve">- [ ] Lessons learned captured for any significant incidents</w:t>
      </w:r>
    </w:p>
    <w:p>
      <w:pPr>
        <w:pStyle w:val="BodyText"/>
      </w:pPr>
      <w:r>
        <w:rPr>
          <w:b/>
          <w:bCs/>
        </w:rPr>
        <w:t xml:space="preserve">Training &amp; Awareness</w:t>
      </w:r>
      <w:r>
        <w:t xml:space="preserve"> </w:t>
      </w:r>
      <w:r>
        <w:t xml:space="preserve">- [ ] New hires onboarded during period received policy walkthrough</w:t>
      </w:r>
    </w:p>
    <w:p>
      <w:pPr>
        <w:pStyle w:val="BodyText"/>
      </w:pPr>
      <w:r>
        <w:rPr>
          <w:b/>
          <w:bCs/>
        </w:rPr>
        <w:t xml:space="preserve">Metrics</w:t>
      </w:r>
      <w:r>
        <w:t xml:space="preserve"> </w:t>
      </w:r>
      <w:r>
        <w:t xml:space="preserve">- [ ] Quarterly summary prepared for leadership (incidents, DSRs, new systems, key changes)</w:t>
      </w:r>
    </w:p>
    <w:bookmarkEnd w:id="85"/>
    <w:bookmarkStart w:id="86" w:name="extended-checklist-as-program-matures"/>
    <w:p>
      <w:pPr>
        <w:pStyle w:val="Heading3"/>
      </w:pPr>
      <w:r>
        <w:t xml:space="preserve">Extended Checklist (as program matures)</w:t>
      </w:r>
    </w:p>
    <w:p>
      <w:pPr>
        <w:pStyle w:val="FirstParagraph"/>
      </w:pPr>
      <w:r>
        <w:t xml:space="preserve">Add these items to the Essential Checklist as the program scales:</w:t>
      </w:r>
    </w:p>
    <w:p>
      <w:pPr>
        <w:pStyle w:val="BodyText"/>
      </w:pPr>
      <w:r>
        <w:rPr>
          <w:b/>
          <w:bCs/>
        </w:rPr>
        <w:t xml:space="preserve">AI Systems Inventory</w:t>
      </w:r>
      <w:r>
        <w:t xml:space="preserve"> </w:t>
      </w:r>
      <w:r>
        <w:t xml:space="preserve">- [ ] All active AI systems have documented owners</w:t>
      </w:r>
      <w:r>
        <w:t xml:space="preserve"> </w:t>
      </w:r>
      <w:r>
        <w:t xml:space="preserve">- [ ] All active AI systems have current data classification</w:t>
      </w:r>
      <w:r>
        <w:t xml:space="preserve"> </w:t>
      </w:r>
      <w:r>
        <w:t xml:space="preserve">- [ ] Retired AI systems are removed with documented cleanup</w:t>
      </w:r>
    </w:p>
    <w:p>
      <w:pPr>
        <w:pStyle w:val="BodyText"/>
      </w:pPr>
      <w:r>
        <w:rPr>
          <w:b/>
          <w:bCs/>
        </w:rPr>
        <w:t xml:space="preserve">Vendor Management</w:t>
      </w:r>
      <w:r>
        <w:t xml:space="preserve"> </w:t>
      </w:r>
      <w:r>
        <w:t xml:space="preserve">- [ ] Sub-processor lists reviewed for changes</w:t>
      </w:r>
      <w:r>
        <w:t xml:space="preserve"> </w:t>
      </w:r>
      <w:r>
        <w:t xml:space="preserve">- [ ] Renewed vendors reassessed per policy</w:t>
      </w:r>
      <w:r>
        <w:t xml:space="preserve"> </w:t>
      </w:r>
      <w:r>
        <w:t xml:space="preserve">- [ ] Provider baseline (Section 8.3) updated with any material provider changes</w:t>
      </w:r>
    </w:p>
    <w:p>
      <w:pPr>
        <w:pStyle w:val="BodyText"/>
      </w:pPr>
      <w:r>
        <w:rPr>
          <w:b/>
          <w:bCs/>
        </w:rPr>
        <w:t xml:space="preserve">Data Handling</w:t>
      </w:r>
      <w:r>
        <w:t xml:space="preserve"> </w:t>
      </w:r>
      <w:r>
        <w:t xml:space="preserve">- [ ] Data classification reviewed for consistency across similar data types</w:t>
      </w:r>
    </w:p>
    <w:p>
      <w:pPr>
        <w:pStyle w:val="BodyText"/>
      </w:pPr>
      <w:r>
        <w:rPr>
          <w:b/>
          <w:bCs/>
        </w:rPr>
        <w:t xml:space="preserve">Data Subject Requests</w:t>
      </w:r>
      <w:r>
        <w:t xml:space="preserve"> </w:t>
      </w:r>
      <w:r>
        <w:t xml:space="preserve">- [ ] Records retained per policy</w:t>
      </w:r>
      <w:r>
        <w:t xml:space="preserve"> </w:t>
      </w:r>
      <w:r>
        <w:t xml:space="preserve">- [ ] Trends in request volume analyzed</w:t>
      </w:r>
    </w:p>
    <w:p>
      <w:pPr>
        <w:pStyle w:val="BodyText"/>
      </w:pPr>
      <w:r>
        <w:rPr>
          <w:b/>
          <w:bCs/>
        </w:rPr>
        <w:t xml:space="preserve">Incidents</w:t>
      </w:r>
      <w:r>
        <w:t xml:space="preserve"> </w:t>
      </w:r>
      <w:r>
        <w:t xml:space="preserve">- [ ] Policy or process changes proposed based on incident patterns</w:t>
      </w:r>
      <w:r>
        <w:t xml:space="preserve"> </w:t>
      </w:r>
      <w:r>
        <w:t xml:space="preserve">- [ ] Cross-functional review of incidents with Security and Legal</w:t>
      </w:r>
    </w:p>
    <w:p>
      <w:pPr>
        <w:pStyle w:val="BodyText"/>
      </w:pPr>
      <w:r>
        <w:rPr>
          <w:b/>
          <w:bCs/>
        </w:rPr>
        <w:t xml:space="preserve">Training &amp; Awareness</w:t>
      </w:r>
      <w:r>
        <w:t xml:space="preserve"> </w:t>
      </w:r>
      <w:r>
        <w:t xml:space="preserve">- [ ] Annual refresher completion tracked across all employees</w:t>
      </w:r>
      <w:r>
        <w:t xml:space="preserve"> </w:t>
      </w:r>
      <w:r>
        <w:t xml:space="preserve">- [ ] Role-specific training completion tracked (engineers, sales, support)</w:t>
      </w:r>
    </w:p>
    <w:p>
      <w:pPr>
        <w:pStyle w:val="BodyText"/>
      </w:pPr>
      <w:r>
        <w:rPr>
          <w:b/>
          <w:bCs/>
        </w:rPr>
        <w:t xml:space="preserve">Compliance &amp; Documentation</w:t>
      </w:r>
      <w:r>
        <w:t xml:space="preserve"> </w:t>
      </w:r>
      <w:r>
        <w:t xml:space="preserve">- [ ] Third-party audit findings addressed (if applicable)</w:t>
      </w:r>
      <w:r>
        <w:t xml:space="preserve"> </w:t>
      </w:r>
      <w:r>
        <w:t xml:space="preserve">- [ ] Regulatory changes since last review incorporated into policy</w:t>
      </w:r>
      <w:r>
        <w:t xml:space="preserve"> </w:t>
      </w:r>
      <w:r>
        <w:t xml:space="preserve">- [ ] Cross-references to related policies verified (Vendor Risk, Impact Assessment, Bias Testing, etc.)</w:t>
      </w:r>
    </w:p>
    <w:p>
      <w:pPr>
        <w:pStyle w:val="BodyText"/>
      </w:pPr>
      <w:r>
        <w:rPr>
          <w:b/>
          <w:bCs/>
        </w:rPr>
        <w:t xml:space="preserve">Metrics</w:t>
      </w:r>
      <w:r>
        <w:t xml:space="preserve"> </w:t>
      </w:r>
      <w:r>
        <w:t xml:space="preserve">- [ ] Quarterly metrics report includes trend analysis vs. prior quarters</w:t>
      </w:r>
      <w:r>
        <w:t xml:space="preserve"> </w:t>
      </w:r>
      <w:r>
        <w:t xml:space="preserve">- [ ] Key metrics compared against industry benchmarks where available</w:t>
      </w:r>
    </w:p>
    <w:p>
      <w:r>
        <w:pict>
          <v:rect style="width:0;height:1.5pt" o:hralign="center" o:hrstd="t" o:hr="t"/>
        </w:pict>
      </w:r>
    </w:p>
    <w:p>
      <w:pPr>
        <w:pStyle w:val="FirstParagraph"/>
      </w:pPr>
      <w:r>
        <w:rPr>
          <w:b/>
          <w:bCs/>
        </w:rPr>
        <w:t xml:space="preserve">End of Policy</w:t>
      </w:r>
    </w:p>
    <w:p>
      <w:pPr>
        <w:pStyle w:val="BodyText"/>
      </w:pPr>
      <w:r>
        <w:rPr>
          <w:i/>
          <w:iCs/>
        </w:rPr>
        <w:t xml:space="preserve">This policy template is provided as a starting framework for AI data governance. It is not legal advice. [COMPANY NAME] should have this policy reviewed by qualified legal counsel before adoption, and should tailor its provisions to [COMPANY NAME]’s specific circumstances, jurisdiction, industry, and risk profile.</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2026-08-28T19:18:56Z</dcterms:created>
  <dcterms:modified xsi:type="dcterms:W3CDTF">2026-08-28T19:18:56Z</dcterms:modified>
</cp:coreProperties>
</file>

<file path=docProps/custom.xml><?xml version="1.0" encoding="utf-8"?>
<Properties xmlns="http://schemas.openxmlformats.org/officeDocument/2006/custom-properties" xmlns:vt="http://schemas.openxmlformats.org/officeDocument/2006/docPropsVTypes"/>
</file>