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86BC" w14:textId="77777777" w:rsidR="00F62B55" w:rsidRPr="00F62B55" w:rsidRDefault="00F62B55" w:rsidP="00F62B55">
      <w:pPr>
        <w:rPr>
          <w:b/>
          <w:bCs/>
        </w:rPr>
      </w:pPr>
      <w:r w:rsidRPr="00F62B55">
        <w:rPr>
          <w:b/>
          <w:bCs/>
        </w:rPr>
        <w:t>242 – Scientific or Technological Uncertainties</w:t>
      </w:r>
    </w:p>
    <w:p w14:paraId="28819950" w14:textId="2C592678" w:rsidR="00F62B55" w:rsidRPr="00F62B55" w:rsidRDefault="00F62B55" w:rsidP="00F62B55">
      <w:r w:rsidRPr="00F62B55">
        <w:t>The continued development of Ephorm Tax was driven by the growing complexity of managing secure and collaborative tax workflows between accountants and clients. Existing solutions relied heavily on email communication, shared documents, and static tax portals that could not adapt to the dynamic nature of tax preparation. These systems lacked reliable synchronization between client and accountant activities, did not support structured multi-year tax workflows, and provided limited control over encrypted data sharing and real-time collaboration. As the number of engagements increased, manual coordination of requests, attachments, status tracking, and prior-year information created inefficiencies and increased the risk of inconsistent or incomplete tax records. We could not identify any available platform that combined secure tax data management, collaborative messaging, dynamic year-based workflows, and responsive document generation in a way that satisfied the operational requirements of a CPA firm.</w:t>
      </w:r>
    </w:p>
    <w:p w14:paraId="0EE34FE2" w14:textId="02589D42" w:rsidR="00F62B55" w:rsidRPr="00F62B55" w:rsidRDefault="00F62B55" w:rsidP="00F62B55">
      <w:r w:rsidRPr="00F62B55">
        <w:t xml:space="preserve">One major uncertainty was whether tax workflows could remain synchronized across multiple related entities such as clients, spouses, accountants, and firm administrators. We needed to determine whether information from previous tax years, linked spouse records, uploaded files, and workflow statuses could dynamically propagate across forms without creating inconsistencies or unintended overwrites. Handling partially completed forms, </w:t>
      </w:r>
      <w:r w:rsidR="002D086B" w:rsidRPr="00F62B55">
        <w:t>read-only</w:t>
      </w:r>
      <w:r w:rsidRPr="00F62B55">
        <w:t xml:space="preserve"> states after submission, and conditional validations introduced additional uncertainty regarding state management and data integrity.</w:t>
      </w:r>
    </w:p>
    <w:p w14:paraId="417C3EF5" w14:textId="77777777" w:rsidR="00F62B55" w:rsidRPr="00F62B55" w:rsidRDefault="00F62B55" w:rsidP="00F62B55">
      <w:r w:rsidRPr="00F62B55">
        <w:t>Another uncertainty involved secure communication and file sharing between accountants and clients. The introduction of real-time messaging, unread tracking, request/reply workflows, and attachment sharing raised questions about whether concurrent interactions could remain reliable across different sessions and devices. Because tax information is highly sensitive, we also faced uncertainty around encrypted storage of written data, secure auto-login invitation flows, password validation rules, and permission management across different user roles.</w:t>
      </w:r>
    </w:p>
    <w:p w14:paraId="56881D23" w14:textId="77777777" w:rsidR="00F62B55" w:rsidRDefault="00F62B55" w:rsidP="00F62B55">
      <w:r w:rsidRPr="00F62B55">
        <w:t>Additional uncertainty emerged from document generation and export functionality. Generating PDF and ZIP exports from dynamic tax forms introduced inconsistencies across environments and browsers, particularly when forms contained large numbers of attachments or conditional sections. Migrating export logic to Puppeteer and handling concurrent file operations raised further questions about scalability, rendering consistency, and error recovery under production workloads.</w:t>
      </w:r>
    </w:p>
    <w:p w14:paraId="3039D659" w14:textId="77777777" w:rsidR="002D086B" w:rsidRDefault="002D086B" w:rsidP="00F62B55"/>
    <w:p w14:paraId="0CEAD007" w14:textId="77777777" w:rsidR="002D086B" w:rsidRDefault="002D086B" w:rsidP="00F62B55"/>
    <w:p w14:paraId="2A6B16A0" w14:textId="3D784249" w:rsidR="002D086B" w:rsidRDefault="002D086B" w:rsidP="00F62B55">
      <w:pPr>
        <w:rPr>
          <w:b/>
          <w:bCs/>
        </w:rPr>
      </w:pPr>
      <w:r w:rsidRPr="002D086B">
        <w:rPr>
          <w:b/>
          <w:bCs/>
        </w:rPr>
        <w:lastRenderedPageBreak/>
        <w:t>244 – Work Performed (Systematic Investigation)</w:t>
      </w:r>
    </w:p>
    <w:p w14:paraId="13A701DB" w14:textId="77777777" w:rsidR="00885127" w:rsidRPr="00885127" w:rsidRDefault="00885127" w:rsidP="00885127">
      <w:r w:rsidRPr="00885127">
        <w:t>To address the uncertainty around synchronized multi-year tax workflows, we investigated different approaches for propagating information between client records, spouse forms, accountant views, and previous-year tax data. Early implementations caused inconsistencies where updates made in one form were not reflected correctly in linked records or were unintentionally overwritten after refreshes. We tested different frontend state-management strategies and backend synchronization logic to determine how partially completed forms, readonly states, and year-specific data could coexist without corrupting tax records. Validation logic was repeatedly adjusted to account for conditional workflows, including spouse dependencies, residency information, and dynamic form sections that appeared or disappeared depending on user input.</w:t>
      </w:r>
    </w:p>
    <w:p w14:paraId="08FEF37F" w14:textId="77777777" w:rsidR="00885127" w:rsidRPr="00885127" w:rsidRDefault="00885127" w:rsidP="00885127">
      <w:r w:rsidRPr="00885127">
        <w:t>We also investigated collaborative communication and request handling between accountants and clients. Initial messaging implementations exposed synchronization problems where unread message counters, request statuses, and attachment visibility were not updating consistently across sessions and devices. To address this, we tested alternative approaches for state refresh, notification triggers, and backend message tracking. Real-time messaging workflows were refined through repeated testing of request/reply cycles, message-read indicators, and concurrent user activity. Additional investigation was required to ensure users could only modify or delete their own messages while maintaining engagement-wide visibility for accountants and firm administrators.</w:t>
      </w:r>
    </w:p>
    <w:p w14:paraId="37D006CF" w14:textId="77777777" w:rsidR="00885127" w:rsidRPr="00885127" w:rsidRDefault="00885127" w:rsidP="00885127">
      <w:r w:rsidRPr="00885127">
        <w:t>Another major area of investigation involved secure handling of sensitive tax information. We implemented encryption routines for written tax data and tested how encrypted values behaved across form updates, exports, and email notifications. Early tests revealed problems where encrypted fields could not be rendered consistently in accountant notifications or failed to synchronize correctly between views. We experimented with different validation strategies for SIN numbers, password complexity rules, auto-login invitation flows, and readonly restrictions after form submission. Each change required repeated testing across multiple user roles to verify that security measures did not unintentionally block valid workflows.</w:t>
      </w:r>
    </w:p>
    <w:p w14:paraId="42A20B77" w14:textId="77777777" w:rsidR="00885127" w:rsidRPr="00885127" w:rsidRDefault="00885127" w:rsidP="00885127">
      <w:r w:rsidRPr="00885127">
        <w:t xml:space="preserve">Document generation and export functionality also required systematic investigation. Dynamic tax forms contained conditional sections, uploaded files, and linked spouse information, which produced inconsistent PDF outputs across environments. We initially relied on an existing PDF generation module, but repeated rendering failures and attachment inconsistencies led us to migrate export logic to Puppeteer. Multiple iterations were required to validate formatting, browser compatibility, ZIP aggregation of attachments, and handling of large file sets. Stress testing revealed failures during </w:t>
      </w:r>
      <w:r w:rsidRPr="00885127">
        <w:lastRenderedPageBreak/>
        <w:t>concurrent export requests, requiring additional investigation into timeout handling and file-stream management.</w:t>
      </w:r>
    </w:p>
    <w:p w14:paraId="5D9EAD05" w14:textId="77777777" w:rsidR="00885127" w:rsidRPr="00885127" w:rsidRDefault="00885127" w:rsidP="00885127">
      <w:r w:rsidRPr="00885127">
        <w:t>We further investigated secure file sharing between accountants and clients. File upload and download workflows exposed issues involving attachment visibility, failed downloads, delayed refreshes, and inconsistent status propagation after uploads. To address these issues, we tested alternative upload validation methods, improved file-state synchronization, and refined backend handling of concurrent attachment operations. Notification systems, invitation emails, auto-login links, and dashboard indicators were repeatedly validated to ensure engagement activity remained synchronized across the platform.</w:t>
      </w:r>
    </w:p>
    <w:p w14:paraId="2B607C06" w14:textId="40984077" w:rsidR="00885127" w:rsidRPr="00885127" w:rsidRDefault="00885127" w:rsidP="00885127">
      <w:r w:rsidRPr="00885127">
        <w:t>Throughout development, many smaller issues</w:t>
      </w:r>
      <w:r>
        <w:t xml:space="preserve">, </w:t>
      </w:r>
      <w:r w:rsidRPr="00885127">
        <w:t>including broken exports, inconsistent form states, unread message errors, failed attachment downloads, and incorrect workflow statuses</w:t>
      </w:r>
      <w:r>
        <w:t xml:space="preserve">, </w:t>
      </w:r>
      <w:r w:rsidRPr="00885127">
        <w:t>served as validation checkpoints for the broader architecture. Each failed synchronization event or export inconsistency provided additional insight that guided refinements to the platform. Through repeated cycles of experimentation, debugging, and validation, we improved the reliability of collaborative tax workflows, secure communication, and dynamic document generation within Ephorm Tax.</w:t>
      </w:r>
    </w:p>
    <w:p w14:paraId="7F78A1CE" w14:textId="77777777" w:rsidR="002D086B" w:rsidRPr="002D086B" w:rsidRDefault="002D086B" w:rsidP="00F62B55"/>
    <w:p w14:paraId="52D35746" w14:textId="77777777" w:rsidR="00F62B55" w:rsidRDefault="00F62B55"/>
    <w:p w14:paraId="4B201D80" w14:textId="77777777" w:rsidR="0096542B" w:rsidRDefault="0096542B"/>
    <w:p w14:paraId="0CD71969" w14:textId="77777777" w:rsidR="0096542B" w:rsidRDefault="0096542B"/>
    <w:p w14:paraId="3431119E" w14:textId="77777777" w:rsidR="0096542B" w:rsidRDefault="0096542B"/>
    <w:p w14:paraId="46E874CA" w14:textId="77777777" w:rsidR="0096542B" w:rsidRDefault="0096542B"/>
    <w:p w14:paraId="3558A0B3" w14:textId="77777777" w:rsidR="0096542B" w:rsidRDefault="0096542B"/>
    <w:p w14:paraId="0D22CED5" w14:textId="77777777" w:rsidR="0096542B" w:rsidRDefault="0096542B"/>
    <w:p w14:paraId="4EC22169" w14:textId="77777777" w:rsidR="0096542B" w:rsidRDefault="0096542B"/>
    <w:p w14:paraId="7B5EB500" w14:textId="77777777" w:rsidR="0096542B" w:rsidRDefault="0096542B"/>
    <w:p w14:paraId="2DEDBA8B" w14:textId="77777777" w:rsidR="0096542B" w:rsidRDefault="0096542B"/>
    <w:p w14:paraId="4A969DC8" w14:textId="77777777" w:rsidR="0096542B" w:rsidRDefault="0096542B"/>
    <w:p w14:paraId="39A2AD35" w14:textId="77777777" w:rsidR="0096542B" w:rsidRDefault="0096542B"/>
    <w:p w14:paraId="7322162F" w14:textId="0B3A1480" w:rsidR="0096542B" w:rsidRPr="00774FCE" w:rsidRDefault="0096542B">
      <w:pPr>
        <w:rPr>
          <w:b/>
          <w:bCs/>
        </w:rPr>
      </w:pPr>
      <w:r w:rsidRPr="00774FCE">
        <w:rPr>
          <w:b/>
          <w:bCs/>
        </w:rPr>
        <w:lastRenderedPageBreak/>
        <w:t>246 – Scientific or Technological Advancements</w:t>
      </w:r>
    </w:p>
    <w:p w14:paraId="67A1B557" w14:textId="77777777" w:rsidR="0096542B" w:rsidRPr="0096542B" w:rsidRDefault="0096542B" w:rsidP="0096542B">
      <w:r w:rsidRPr="0096542B">
        <w:t>The development work on Ephorm Tax resulted in several advancements in collaborative tax workflow management, secure communication, and dynamic document generation. One advancement was the creation of a synchronized multi-year tax workflow framework capable of maintaining consistency between client records, spouse forms, accountant views, and historical tax data. By refining backend synchronization logic and frontend state handling, we established a more reliable method for propagating updates across related forms while supporting partially completed workflows, readonly submission states, and conditional tax sections. This improved the consistency and integrity of tax records across engagements.</w:t>
      </w:r>
    </w:p>
    <w:p w14:paraId="41B6A69E" w14:textId="77777777" w:rsidR="0096542B" w:rsidRPr="0096542B" w:rsidRDefault="0096542B" w:rsidP="0096542B">
      <w:r w:rsidRPr="0096542B">
        <w:t>Another advancement was achieved in secure real-time collaboration between accountants and clients. Through improvements to messaging workflows, unread tracking, attachment handling, and request/reply synchronization, we developed a more reliable communication framework that maintained engagement visibility across multiple concurrent users and devices. The system also introduced more structured interaction between accountants and clients by combining messaging, file sharing, and workflow notifications into a unified tax-engagement process.</w:t>
      </w:r>
    </w:p>
    <w:p w14:paraId="1722D757" w14:textId="77777777" w:rsidR="0096542B" w:rsidRPr="0096542B" w:rsidRDefault="0096542B" w:rsidP="0096542B">
      <w:r w:rsidRPr="0096542B">
        <w:t>We also advanced the secure handling of sensitive tax information. Encryption routines for written tax data, validation logic for SIN numbers and passwords, and controlled auto-login invitation workflows improved both security and usability. These improvements reduced inconsistencies between encrypted data states and allowed secure information to remain synchronized across forms, notifications, and exports without compromising workflow continuity.</w:t>
      </w:r>
    </w:p>
    <w:p w14:paraId="2EABD336" w14:textId="77777777" w:rsidR="0096542B" w:rsidRPr="0096542B" w:rsidRDefault="0096542B" w:rsidP="0096542B">
      <w:r w:rsidRPr="0096542B">
        <w:t>Additional advancements were achieved in document export and reporting. Migrating PDF generation to Puppeteer and introducing ZIP aggregation for attachments created a more resilient export process capable of handling dynamic tax forms containing conditional sections, uploaded documents, and linked spouse information. This improved rendering consistency and provided accountants with a more reliable method for generating and sharing completed tax records.</w:t>
      </w:r>
    </w:p>
    <w:p w14:paraId="10D297B6" w14:textId="77777777" w:rsidR="0096542B" w:rsidRPr="0096542B" w:rsidRDefault="0096542B" w:rsidP="0096542B">
      <w:r w:rsidRPr="0096542B">
        <w:t>While the platform became significantly more stable, collaborative, and secure as a result of these efforts, several uncertainties remain. Synchronization of highly dynamic tax workflows under larger engagement volumes, consistency of concurrent messaging and attachment operations, and scalability of export generation across increasingly complex tax records continue to present technical challenges that are still being investigated.</w:t>
      </w:r>
    </w:p>
    <w:p w14:paraId="11AF2EF5" w14:textId="77777777" w:rsidR="0096542B" w:rsidRDefault="0096542B"/>
    <w:sectPr w:rsidR="009654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B8"/>
    <w:rsid w:val="00006E87"/>
    <w:rsid w:val="0027399A"/>
    <w:rsid w:val="002D086B"/>
    <w:rsid w:val="00774FCE"/>
    <w:rsid w:val="00885127"/>
    <w:rsid w:val="00886EDD"/>
    <w:rsid w:val="008E7E50"/>
    <w:rsid w:val="0096542B"/>
    <w:rsid w:val="00993798"/>
    <w:rsid w:val="00A92AD0"/>
    <w:rsid w:val="00AE2090"/>
    <w:rsid w:val="00B0361F"/>
    <w:rsid w:val="00C62CB8"/>
    <w:rsid w:val="00DB66D4"/>
    <w:rsid w:val="00E24C4D"/>
    <w:rsid w:val="00EE305C"/>
    <w:rsid w:val="00F62B55"/>
    <w:rsid w:val="00FF3C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D11C"/>
  <w15:chartTrackingRefBased/>
  <w15:docId w15:val="{09D81243-6BA3-4891-BB31-EA8418B9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B8"/>
    <w:rPr>
      <w:rFonts w:eastAsiaTheme="majorEastAsia" w:cstheme="majorBidi"/>
      <w:color w:val="272727" w:themeColor="text1" w:themeTint="D8"/>
    </w:rPr>
  </w:style>
  <w:style w:type="paragraph" w:styleId="Title">
    <w:name w:val="Title"/>
    <w:basedOn w:val="Normal"/>
    <w:next w:val="Normal"/>
    <w:link w:val="TitleChar"/>
    <w:uiPriority w:val="10"/>
    <w:qFormat/>
    <w:rsid w:val="00C6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B8"/>
    <w:pPr>
      <w:spacing w:before="160"/>
      <w:jc w:val="center"/>
    </w:pPr>
    <w:rPr>
      <w:i/>
      <w:iCs/>
      <w:color w:val="404040" w:themeColor="text1" w:themeTint="BF"/>
    </w:rPr>
  </w:style>
  <w:style w:type="character" w:customStyle="1" w:styleId="QuoteChar">
    <w:name w:val="Quote Char"/>
    <w:basedOn w:val="DefaultParagraphFont"/>
    <w:link w:val="Quote"/>
    <w:uiPriority w:val="29"/>
    <w:rsid w:val="00C62CB8"/>
    <w:rPr>
      <w:i/>
      <w:iCs/>
      <w:color w:val="404040" w:themeColor="text1" w:themeTint="BF"/>
    </w:rPr>
  </w:style>
  <w:style w:type="paragraph" w:styleId="ListParagraph">
    <w:name w:val="List Paragraph"/>
    <w:basedOn w:val="Normal"/>
    <w:uiPriority w:val="34"/>
    <w:qFormat/>
    <w:rsid w:val="00C62CB8"/>
    <w:pPr>
      <w:ind w:left="720"/>
      <w:contextualSpacing/>
    </w:pPr>
  </w:style>
  <w:style w:type="character" w:styleId="IntenseEmphasis">
    <w:name w:val="Intense Emphasis"/>
    <w:basedOn w:val="DefaultParagraphFont"/>
    <w:uiPriority w:val="21"/>
    <w:qFormat/>
    <w:rsid w:val="00C62CB8"/>
    <w:rPr>
      <w:i/>
      <w:iCs/>
      <w:color w:val="0F4761" w:themeColor="accent1" w:themeShade="BF"/>
    </w:rPr>
  </w:style>
  <w:style w:type="paragraph" w:styleId="IntenseQuote">
    <w:name w:val="Intense Quote"/>
    <w:basedOn w:val="Normal"/>
    <w:next w:val="Normal"/>
    <w:link w:val="IntenseQuoteChar"/>
    <w:uiPriority w:val="30"/>
    <w:qFormat/>
    <w:rsid w:val="00C62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CB8"/>
    <w:rPr>
      <w:i/>
      <w:iCs/>
      <w:color w:val="0F4761" w:themeColor="accent1" w:themeShade="BF"/>
    </w:rPr>
  </w:style>
  <w:style w:type="character" w:styleId="IntenseReference">
    <w:name w:val="Intense Reference"/>
    <w:basedOn w:val="DefaultParagraphFont"/>
    <w:uiPriority w:val="32"/>
    <w:qFormat/>
    <w:rsid w:val="00C62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 Y</dc:creator>
  <cp:keywords/>
  <dc:description/>
  <cp:lastModifiedBy>Hal Y</cp:lastModifiedBy>
  <cp:revision>9</cp:revision>
  <dcterms:created xsi:type="dcterms:W3CDTF">2026-05-11T18:09:00Z</dcterms:created>
  <dcterms:modified xsi:type="dcterms:W3CDTF">2026-05-20T16:26:00Z</dcterms:modified>
</cp:coreProperties>
</file>