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ondledger-product-spec-v1"/>
      <w:r>
        <w:t xml:space="preserve">PondLedger — Product Spec (v1)</w:t>
      </w:r>
      <w:bookmarkEnd w:id="20"/>
    </w:p>
    <w:p>
      <w:pPr>
        <w:pStyle w:val="FirstParagraph"/>
      </w:pPr>
      <w:r>
        <w:rPr>
          <w:b/>
        </w:rPr>
        <w:t xml:space="preserve">A feed-and-profit tracker for catfish farmers</w:t>
      </w:r>
      <w:r>
        <w:t xml:space="preserve"> </w:t>
      </w:r>
      <w:r>
        <w:t xml:space="preserve">Prepared by SitesbyFritz · 2026-08-07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problem-in-one-line"/>
      <w:r>
        <w:t xml:space="preserve">The problem, in one line</w:t>
      </w:r>
      <w:bookmarkEnd w:id="21"/>
    </w:p>
    <w:p>
      <w:pPr>
        <w:pStyle w:val="FirstParagraph"/>
      </w:pPr>
      <w:r>
        <w:t xml:space="preserve">For a catfish farmer, feed is 60–70% of total cost, and the two things that most decide whether a cycle makes money — feed conversion ratio (FCR) and real cost-per-kg — are invisible when records live in a notebook or in your head. By the time the fish are harvested, it’s too late to act on them.</w:t>
      </w:r>
    </w:p>
    <w:p>
      <w:pPr>
        <w:pStyle w:val="BodyText"/>
      </w:pPr>
      <w:r>
        <w:t xml:space="preserve">PondLedger makes those numbers visible</w:t>
      </w:r>
      <w:r>
        <w:t xml:space="preserve"> </w:t>
      </w:r>
      <w:r>
        <w:rPr>
          <w:i/>
        </w:rPr>
        <w:t xml:space="preserve">while the cycle is still running</w:t>
      </w:r>
      <w:r>
        <w:t xml:space="preserve">, so decisions about feeding and harvest timing can be made with facts instead of guesswork.</w:t>
      </w:r>
    </w:p>
    <w:p>
      <w:pPr>
        <w:pStyle w:val="Heading2"/>
      </w:pPr>
      <w:bookmarkStart w:id="22" w:name="who-its-for"/>
      <w:r>
        <w:t xml:space="preserve">Who it’s for</w:t>
      </w:r>
      <w:bookmarkEnd w:id="22"/>
    </w:p>
    <w:p>
      <w:pPr>
        <w:pStyle w:val="FirstParagraph"/>
      </w:pPr>
      <w:r>
        <w:t xml:space="preserve">A single catfish farmer running one or several ponds/tanks at different stages, on a phone, often with patchy internet. Not a lab. Not a corporate hatchery. The design assumption is: if it takes more than 30 seconds a day, it won’t get used.</w:t>
      </w:r>
    </w:p>
    <w:p>
      <w:pPr>
        <w:pStyle w:val="Heading2"/>
      </w:pPr>
      <w:bookmarkStart w:id="23" w:name="the-core-loop"/>
      <w:r>
        <w:t xml:space="preserve">The core loop</w:t>
      </w:r>
      <w:bookmarkEnd w:id="23"/>
    </w:p>
    <w:p>
      <w:pPr>
        <w:pStyle w:val="FirstParagraph"/>
      </w:pPr>
      <w:r>
        <w:t xml:space="preserve">Each day, per pond, the farmer logs three things: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Feed given</w:t>
      </w:r>
      <w:r>
        <w:t xml:space="preserve"> </w:t>
      </w:r>
      <w:r>
        <w:t xml:space="preserve">— kilograms and cost (₦)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Mortalities</w:t>
      </w:r>
      <w:r>
        <w:t xml:space="preserve"> </w:t>
      </w:r>
      <w:r>
        <w:t xml:space="preserve">— number of fish lost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Sample weight</w:t>
      </w:r>
      <w:r>
        <w:t xml:space="preserve"> </w:t>
      </w:r>
      <w:r>
        <w:t xml:space="preserve">— average weight of a few fish, entered periodically (not daily)</w:t>
      </w:r>
    </w:p>
    <w:p>
      <w:pPr>
        <w:pStyle w:val="FirstParagraph"/>
      </w:pPr>
      <w:r>
        <w:t xml:space="preserve">From just those inputs, PondLedger computes what the farmer currently cannot see: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Live FCR</w:t>
      </w:r>
      <w:r>
        <w:t xml:space="preserve"> </w:t>
      </w:r>
      <w:r>
        <w:t xml:space="preserve">— feed used ÷ weight gained, updated as the cycle runs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Cost-per-kg in naira</w:t>
      </w:r>
      <w:r>
        <w:t xml:space="preserve"> </w:t>
      </w:r>
      <w:r>
        <w:t xml:space="preserve">— the true break-even floor for this pond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Break-even vs. market price</w:t>
      </w:r>
      <w:r>
        <w:t xml:space="preserve"> </w:t>
      </w:r>
      <w:r>
        <w:t xml:space="preserve">— know your floor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a middleman names a number at the farm gate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Harvest-timing signal</w:t>
      </w:r>
      <w:r>
        <w:t xml:space="preserve"> </w:t>
      </w:r>
      <w:r>
        <w:t xml:space="preserve">— flags the point where extra feed stops paying for itself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Cycle profit/loss report</w:t>
      </w:r>
      <w:r>
        <w:t xml:space="preserve"> </w:t>
      </w:r>
      <w:r>
        <w:t xml:space="preserve">— compare pond-to-pond and cycle-to-cycle</w:t>
      </w:r>
    </w:p>
    <w:p>
      <w:pPr>
        <w:pStyle w:val="Heading2"/>
      </w:pPr>
      <w:bookmarkStart w:id="24" w:name="X06a9b8b164fbeba222a84adb9495a44e7a0a539"/>
      <w:r>
        <w:t xml:space="preserve">Why this idea (and not a full</w:t>
      </w:r>
      <w:r>
        <w:t xml:space="preserve"> </w:t>
      </w:r>
      <w:r>
        <w:t xml:space="preserve">“</w:t>
      </w:r>
      <w:r>
        <w:t xml:space="preserve">farm management</w:t>
      </w:r>
      <w:r>
        <w:t xml:space="preserve">”</w:t>
      </w:r>
      <w:r>
        <w:t xml:space="preserve"> </w:t>
      </w:r>
      <w:r>
        <w:t xml:space="preserve">app)</w:t>
      </w:r>
      <w:bookmarkEnd w:id="24"/>
    </w:p>
    <w:p>
      <w:pPr>
        <w:pStyle w:val="FirstParagraph"/>
      </w:pPr>
      <w:r>
        <w:t xml:space="preserve">Research across Nigerian catfish studies is consistent: the highest-impact profit levers are selling price, FCR, and feed price — in that order. Water-quality sensors, marketplaces, and IoT feeders are real but are either expensive, network-dependent, or solve problems a single farmer can’t move alone. Feed efficiency is the one big lever the farmer controls every single day. Build there first.</w:t>
      </w:r>
    </w:p>
    <w:p>
      <w:pPr>
        <w:pStyle w:val="BodyText"/>
      </w:pPr>
      <w:r>
        <w:t xml:space="preserve">A quiet second benefit: a farmer who knows his cost-per-kg has real negotiating power against middlemen who currently dictate farm-gate prices.</w:t>
      </w:r>
    </w:p>
    <w:p>
      <w:pPr>
        <w:pStyle w:val="Heading2"/>
      </w:pPr>
      <w:bookmarkStart w:id="25" w:name="Xccec69af31e582dacfbaf56d4fdb2f04a026cc3"/>
      <w:r>
        <w:t xml:space="preserve">Worked example (illustrative — real numbers get plugged in)</w:t>
      </w:r>
      <w:bookmarkEnd w:id="25"/>
    </w:p>
    <w:p>
      <w:pPr>
        <w:pStyle w:val="BlockText"/>
      </w:pPr>
      <w:r>
        <w:t xml:space="preserve">One pond, 1,000 fingerlings, 10% mortality, average harvest weight 1.0 kg → 900 kg biomass. FCR 1.5, feed at ₦1,300/kg.</w:t>
      </w:r>
    </w:p>
    <w:tbl>
      <w:tblPr>
        <w:tblStyle w:val="Table"/>
        <w:tblW w:type="pct" w:w="5000.0"/>
        <w:tblLook w:firstRow="1"/>
      </w:tblPr>
      <w:tblGrid>
        <w:gridCol w:w="3553"/>
        <w:gridCol w:w="436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used</w:t>
            </w:r>
          </w:p>
        </w:tc>
        <w:tc>
          <w:p>
            <w:pPr>
              <w:pStyle w:val="Compact"/>
              <w:jc w:val="left"/>
            </w:pPr>
            <w:r>
              <w:t xml:space="preserve">1,350 kg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 cost</w:t>
            </w:r>
          </w:p>
        </w:tc>
        <w:tc>
          <w:p>
            <w:pPr>
              <w:pStyle w:val="Compact"/>
              <w:jc w:val="left"/>
            </w:pPr>
            <w:r>
              <w:t xml:space="preserve">₦1,755,000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cost (feed ≈ 65%)</w:t>
            </w:r>
          </w:p>
        </w:tc>
        <w:tc>
          <w:p>
            <w:pPr>
              <w:pStyle w:val="Compact"/>
              <w:jc w:val="left"/>
            </w:pPr>
            <w:r>
              <w:t xml:space="preserve">₦2,700,000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Cost-per-kg (break-even)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₦3,000/kg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Middleman offer @ ₦2,900/kg</w:t>
            </w:r>
          </w:p>
        </w:tc>
        <w:tc>
          <w:p>
            <w:pPr>
              <w:pStyle w:val="Compact"/>
              <w:jc w:val="left"/>
            </w:pPr>
            <w:r>
              <w:t xml:space="preserve">Revenue ₦2,610,000 →</w:t>
            </w:r>
            <w:r>
              <w:t xml:space="preserve"> </w:t>
            </w:r>
            <w:r>
              <w:rPr>
                <w:b/>
              </w:rPr>
              <w:t xml:space="preserve">loss ₦90,000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sale @ ₦3,600/kg</w:t>
            </w:r>
          </w:p>
        </w:tc>
        <w:tc>
          <w:p>
            <w:pPr>
              <w:pStyle w:val="Compact"/>
              <w:jc w:val="left"/>
            </w:pPr>
            <w:r>
              <w:t xml:space="preserve">Revenue ₦3,240,000 →</w:t>
            </w:r>
            <w:r>
              <w:t xml:space="preserve"> </w:t>
            </w:r>
            <w:r>
              <w:rPr>
                <w:b/>
              </w:rPr>
              <w:t xml:space="preserve">profit ₦540,000</w:t>
            </w:r>
          </w:p>
        </w:tc>
      </w:tr>
    </w:tbl>
    <w:p>
      <w:pPr>
        <w:pStyle w:val="BodyText"/>
      </w:pPr>
      <w:r>
        <w:t xml:space="preserve">The point isn’t these exact figures — it’s that the same pond swings from loss to profit on price and FCR, and PondLedger surfaces that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the sale, not after.</w:t>
      </w:r>
    </w:p>
    <w:p>
      <w:pPr>
        <w:pStyle w:val="Heading2"/>
      </w:pPr>
      <w:bookmarkStart w:id="26" w:name="mvp-scope-v1-deliberately-narrow"/>
      <w:r>
        <w:t xml:space="preserve">MVP scope (v1) — deliberately narrow</w:t>
      </w:r>
      <w:bookmarkEnd w:id="26"/>
    </w:p>
    <w:p>
      <w:pPr>
        <w:pStyle w:val="FirstParagraph"/>
      </w:pPr>
      <w:r>
        <w:rPr>
          <w:b/>
        </w:rPr>
        <w:t xml:space="preserve">In:</w:t>
      </w:r>
    </w:p>
    <w:p>
      <w:pPr>
        <w:numPr>
          <w:ilvl w:val="0"/>
          <w:numId w:val="1003"/>
        </w:numPr>
        <w:pStyle w:val="Compact"/>
      </w:pPr>
      <w:r>
        <w:t xml:space="preserve">One farmer, one phone, mobile-first</w:t>
      </w:r>
    </w:p>
    <w:p>
      <w:pPr>
        <w:numPr>
          <w:ilvl w:val="0"/>
          <w:numId w:val="1003"/>
        </w:numPr>
        <w:pStyle w:val="Compact"/>
      </w:pPr>
      <w:r>
        <w:t xml:space="preserve">Add/manage multiple ponds, each with its own cycle (stocking date, count, fingerling cost)</w:t>
      </w:r>
    </w:p>
    <w:p>
      <w:pPr>
        <w:numPr>
          <w:ilvl w:val="0"/>
          <w:numId w:val="1003"/>
        </w:numPr>
        <w:pStyle w:val="Compact"/>
      </w:pPr>
      <w:r>
        <w:t xml:space="preserve">Daily quick-entry: feed (kg + ₦), mortalities, optional note</w:t>
      </w:r>
    </w:p>
    <w:p>
      <w:pPr>
        <w:numPr>
          <w:ilvl w:val="0"/>
          <w:numId w:val="1003"/>
        </w:numPr>
        <w:pStyle w:val="Compact"/>
      </w:pPr>
      <w:r>
        <w:t xml:space="preserve">Periodic sample-weight entry</w:t>
      </w:r>
    </w:p>
    <w:p>
      <w:pPr>
        <w:numPr>
          <w:ilvl w:val="0"/>
          <w:numId w:val="1003"/>
        </w:numPr>
        <w:pStyle w:val="Compact"/>
      </w:pPr>
      <w:r>
        <w:t xml:space="preserve">Auto-calculated dashboard per pond: FCR, cost-per-kg, survival %, days in cycle</w:t>
      </w:r>
    </w:p>
    <w:p>
      <w:pPr>
        <w:numPr>
          <w:ilvl w:val="0"/>
          <w:numId w:val="1003"/>
        </w:numPr>
        <w:pStyle w:val="Compact"/>
      </w:pPr>
      <w:r>
        <w:t xml:space="preserve">Break-even vs. a manually-entered current market price</w:t>
      </w:r>
    </w:p>
    <w:p>
      <w:pPr>
        <w:numPr>
          <w:ilvl w:val="0"/>
          <w:numId w:val="1003"/>
        </w:numPr>
        <w:pStyle w:val="Compact"/>
      </w:pPr>
      <w:r>
        <w:t xml:space="preserve">End-of-cycle P/L summary</w:t>
      </w:r>
    </w:p>
    <w:p>
      <w:pPr>
        <w:numPr>
          <w:ilvl w:val="0"/>
          <w:numId w:val="1003"/>
        </w:numPr>
        <w:pStyle w:val="Compact"/>
      </w:pPr>
      <w:r>
        <w:t xml:space="preserve">Works offline; syncs when back online</w:t>
      </w:r>
    </w:p>
    <w:p>
      <w:pPr>
        <w:pStyle w:val="FirstParagraph"/>
      </w:pPr>
      <w:r>
        <w:rPr>
          <w:b/>
        </w:rPr>
        <w:t xml:space="preserve">Out (v2 and later):</w:t>
      </w:r>
    </w:p>
    <w:p>
      <w:pPr>
        <w:numPr>
          <w:ilvl w:val="0"/>
          <w:numId w:val="1004"/>
        </w:numPr>
        <w:pStyle w:val="Compact"/>
      </w:pPr>
      <w:r>
        <w:t xml:space="preserve">Water-quality sensors / IoT feeders</w:t>
      </w:r>
    </w:p>
    <w:p>
      <w:pPr>
        <w:numPr>
          <w:ilvl w:val="0"/>
          <w:numId w:val="1004"/>
        </w:numPr>
        <w:pStyle w:val="Compact"/>
      </w:pPr>
      <w:r>
        <w:t xml:space="preserve">Multi-user / staff accounts</w:t>
      </w:r>
    </w:p>
    <w:p>
      <w:pPr>
        <w:numPr>
          <w:ilvl w:val="0"/>
          <w:numId w:val="1004"/>
        </w:numPr>
        <w:pStyle w:val="Compact"/>
      </w:pPr>
      <w:r>
        <w:t xml:space="preserve">Marketplace or buyer directory</w:t>
      </w:r>
    </w:p>
    <w:p>
      <w:pPr>
        <w:numPr>
          <w:ilvl w:val="0"/>
          <w:numId w:val="1004"/>
        </w:numPr>
        <w:pStyle w:val="Compact"/>
      </w:pPr>
      <w:r>
        <w:t xml:space="preserve">Disease diagnosis</w:t>
      </w:r>
    </w:p>
    <w:p>
      <w:pPr>
        <w:numPr>
          <w:ilvl w:val="0"/>
          <w:numId w:val="1004"/>
        </w:numPr>
        <w:pStyle w:val="Compact"/>
      </w:pPr>
      <w:r>
        <w:t xml:space="preserve">SMS/WhatsApp alerts</w:t>
      </w:r>
    </w:p>
    <w:p>
      <w:pPr>
        <w:pStyle w:val="Heading2"/>
      </w:pPr>
      <w:bookmarkStart w:id="27" w:name="data-model-starting-point"/>
      <w:r>
        <w:t xml:space="preserve">Data model (starting point)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Farm</w:t>
      </w:r>
      <w:r>
        <w:t xml:space="preserve"> </w:t>
      </w:r>
      <w:r>
        <w:t xml:space="preserve">— owner, currency (₦), default feed price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Pond</w:t>
      </w:r>
      <w:r>
        <w:t xml:space="preserve"> </w:t>
      </w:r>
      <w:r>
        <w:t xml:space="preserve">— name, type (tank/earthen/plastic), status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Cycle</w:t>
      </w:r>
      <w:r>
        <w:t xml:space="preserve"> </w:t>
      </w:r>
      <w:r>
        <w:t xml:space="preserve">— pond, stocking date, fish count, fingerling cost, expected harvest window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FeedLog</w:t>
      </w:r>
      <w:r>
        <w:t xml:space="preserve"> </w:t>
      </w:r>
      <w:r>
        <w:t xml:space="preserve">— cycle, date, feed kg, feed cost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MortalityLog</w:t>
      </w:r>
      <w:r>
        <w:t xml:space="preserve"> </w:t>
      </w:r>
      <w:r>
        <w:t xml:space="preserve">— cycle, date, count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WeightSample</w:t>
      </w:r>
      <w:r>
        <w:t xml:space="preserve"> </w:t>
      </w:r>
      <w:r>
        <w:t xml:space="preserve">— cycle, date, average weight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Harvest</w:t>
      </w:r>
      <w:r>
        <w:t xml:space="preserve"> </w:t>
      </w:r>
      <w:r>
        <w:t xml:space="preserve">— cycle, date, total kg, revenue, buyer type (middleman/direct/retail)</w:t>
      </w:r>
    </w:p>
    <w:p>
      <w:pPr>
        <w:pStyle w:val="FirstParagraph"/>
      </w:pPr>
      <w:r>
        <w:t xml:space="preserve">Derived (not stored): FCR, cost-per-kg, survival %, projected profit.</w:t>
      </w:r>
    </w:p>
    <w:p>
      <w:pPr>
        <w:pStyle w:val="Heading2"/>
      </w:pPr>
      <w:bookmarkStart w:id="28" w:name="suggested-build-stack"/>
      <w:r>
        <w:t xml:space="preserve">Suggested build stack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Front end:</w:t>
      </w:r>
      <w:r>
        <w:t xml:space="preserve"> </w:t>
      </w:r>
      <w:r>
        <w:t xml:space="preserve">Framer or a Claude Code React app — mobile-first, big tap targets, minimal typing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Backend/DB:</w:t>
      </w:r>
      <w:r>
        <w:t xml:space="preserve"> </w:t>
      </w:r>
      <w:r>
        <w:t xml:space="preserve">Supabase (Postgres + auth); offline-tolerant with local cache and sync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Charts:</w:t>
      </w:r>
      <w:r>
        <w:t xml:space="preserve"> </w:t>
      </w:r>
      <w:r>
        <w:t xml:space="preserve">lightweight (cost-per-kg over time, FCR trend)</w:t>
      </w:r>
    </w:p>
    <w:p>
      <w:pPr>
        <w:pStyle w:val="FirstParagraph"/>
      </w:pPr>
      <w:r>
        <w:t xml:space="preserve">Start as a private tool for one farm. If it earns its keep, the same template becomes a product for the large, mostly-paper catfish market — a natural fit for the SitesbyFritz ICP.</w:t>
      </w:r>
    </w:p>
    <w:p>
      <w:pPr>
        <w:pStyle w:val="Heading2"/>
      </w:pPr>
      <w:bookmarkStart w:id="29" w:name="success-test-for-v1"/>
      <w:r>
        <w:t xml:space="preserve">Success test for v1</w:t>
      </w:r>
      <w:bookmarkEnd w:id="29"/>
    </w:p>
    <w:p>
      <w:pPr>
        <w:pStyle w:val="FirstParagraph"/>
      </w:pPr>
      <w:r>
        <w:t xml:space="preserve">One question decides if v1 worked:</w:t>
      </w:r>
      <w:r>
        <w:t xml:space="preserve"> </w:t>
      </w:r>
      <w:r>
        <w:rPr>
          <w:i/>
        </w:rPr>
        <w:t xml:space="preserve">at any moment, can the farmer open the app and say what a kilo of fish in each pond is costing him right now?</w:t>
      </w:r>
      <w:r>
        <w:t xml:space="preserve"> </w:t>
      </w:r>
      <w:r>
        <w:t xml:space="preserve">If yes, everything else is upside.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Next step options: a clickable prototype of the daily-entry screen + dashboard, or a v1 build plan with the Supabase schema and screens.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2026-08-07T22:27:39Z</dcterms:created>
  <dcterms:modified xsi:type="dcterms:W3CDTF">2026-08-07T22:27:39Z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