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Milestone 6:  Feasibility Analysis</w:t>
      </w:r>
      <w:r w:rsidDel="00000000" w:rsidR="00000000" w:rsidRPr="00000000">
        <w:rPr>
          <w:sz w:val="20"/>
          <w:szCs w:val="20"/>
          <w:rtl w:val="0"/>
        </w:rPr>
        <w:t xml:space="preserve"> (5 Points)   </w:t>
        <w:tab/>
        <w:t xml:space="preserve">          </w:t>
        <w:tab/>
      </w:r>
    </w:p>
    <w:p w:rsidR="00000000" w:rsidDel="00000000" w:rsidP="00000000" w:rsidRDefault="00000000" w:rsidRPr="00000000">
      <w:pPr>
        <w:contextualSpacing w:val="0"/>
      </w:pPr>
      <w:r w:rsidDel="00000000" w:rsidR="00000000" w:rsidRPr="00000000">
        <w:rPr>
          <w:b w:val="1"/>
          <w:sz w:val="20"/>
          <w:szCs w:val="20"/>
          <w:rtl w:val="0"/>
        </w:rPr>
        <w:t xml:space="preserve">Group: </w:t>
      </w:r>
      <w:r w:rsidDel="00000000" w:rsidR="00000000" w:rsidRPr="00000000">
        <w:rPr>
          <w:rFonts w:ascii="MS Mincho" w:cs="MS Mincho" w:eastAsia="MS Mincho" w:hAnsi="MS Mincho"/>
          <w:b w:val="1"/>
          <w:sz w:val="20"/>
          <w:szCs w:val="20"/>
          <w:rtl w:val="0"/>
        </w:rPr>
        <w:t xml:space="preserve">    </w:t>
      </w:r>
      <w:r w:rsidDel="00000000" w:rsidR="00000000" w:rsidRPr="00000000">
        <w:rPr>
          <w:rFonts w:ascii="MS Mincho" w:cs="MS Mincho" w:eastAsia="MS Mincho" w:hAnsi="MS Mincho"/>
          <w:b w:val="1"/>
          <w:sz w:val="20"/>
          <w:szCs w:val="20"/>
          <w:u w:val="single"/>
          <w:rtl w:val="0"/>
        </w:rPr>
        <w:t xml:space="preserve"> </w:t>
      </w:r>
      <w:r w:rsidDel="00000000" w:rsidR="00000000" w:rsidRPr="00000000">
        <w:rPr>
          <w:b w:val="1"/>
          <w:sz w:val="20"/>
          <w:szCs w:val="20"/>
          <w:u w:val="single"/>
          <w:rtl w:val="0"/>
        </w:rPr>
        <w:t xml:space="preserve">HBTS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Organization/System: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u w:val="single"/>
          <w:rtl w:val="0"/>
        </w:rPr>
        <w:t xml:space="preserve">The Fan Zone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6-1.  Hand in this checklist with your submissions.  Each group member must initial below.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6-2.   Include copies of group meeting agendas and summary notes.  Each group member must</w:t>
      </w:r>
    </w:p>
    <w:p w:rsidR="00000000" w:rsidDel="00000000" w:rsidP="00000000" w:rsidRDefault="00000000" w:rsidRPr="00000000">
      <w:pPr>
        <w:contextualSpacing w:val="0"/>
      </w:pPr>
      <w:r w:rsidDel="00000000" w:rsidR="00000000" w:rsidRPr="00000000">
        <w:rPr>
          <w:sz w:val="20"/>
          <w:szCs w:val="20"/>
          <w:rtl w:val="0"/>
        </w:rPr>
        <w:t xml:space="preserve">             </w:t>
        <w:tab/>
        <w:t xml:space="preserve">take turns preparing agendas and notes.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System Proposal and Feasibility Analysis.  These items are due on the day your group does its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6-3.   Executive Summary.  Although this is listed first and should appear first in the workbook section,  the executive summary should be written last after the other requirements are complete.  Not more than one page.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6-4.  Total Costs/Benefit Analysis.  The estimate should include one-time and recurring costs and  benefits, over the project lifetime (up to 5 years) </w:t>
        <w:tab/>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6-5.   Feasibility Analysis Matrix with weighted scores.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6-6.   Write  a summary on selection of the system solution (1-2 pages).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6-98. Any other documents and/or output from techniques that are useful to the analysis and not already listed.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6-99.    Evaluation of group members will be done in class.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Group members:      </w:t>
        <w:tab/>
        <w:t xml:space="preserve">_________        </w:t>
        <w:tab/>
        <w:t xml:space="preserve">___________         </w:t>
        <w:tab/>
        <w:t xml:space="preserve">__________       </w:t>
        <w:tab/>
        <w:t xml:space="preserve">_________       </w:t>
        <w:tab/>
        <w:t xml:space="preserve">___________</w:t>
      </w:r>
    </w:p>
    <w:p w:rsidR="00000000" w:rsidDel="00000000" w:rsidP="00000000" w:rsidRDefault="00000000" w:rsidRPr="00000000">
      <w:pPr>
        <w:contextualSpacing w:val="0"/>
      </w:pPr>
      <w:r w:rsidDel="00000000" w:rsidR="00000000" w:rsidRPr="00000000">
        <w:rPr>
          <w:b w:val="1"/>
          <w:sz w:val="20"/>
          <w:szCs w:val="20"/>
          <w:rtl w:val="0"/>
        </w:rPr>
        <w:t xml:space="preserve">   </w:t>
        <w:tab/>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sz w:val="16"/>
          <w:szCs w:val="16"/>
          <w:rtl w:val="0"/>
        </w:rPr>
        <w:t xml:space="preserve">Please,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6-3 Executive Summary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For our project, we partnered with the Fan Zone - St. Cloud, to help them to create a better system for their business. To go about determining what system to help them with, it came to our knowledge that the store didn’t have any inventory system to keep record of all of the product that they had in store; they just ordered more once the shelf got low on stock. From there, we interviewed the manager of the Fan Zone, Jason Chattin, to get a better feel of what the current system of tracking inventory was and what requirements he had for us in creating a new one for them to use in the store.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After we had finished with laying out the requirements for the new inventory system, our team then started to research the different options that we had that fit the requirements. What we came down to was either developing our own system with the time we had left in the semester, or use an off the shelf inventory system, inFlow Inventory, that already had everything that the Fan Zone was looking for in an inventory system. After discussion with Mr. Chattin, we are going to be going with inFlow inventory, as it would be better to have a product with guaranteed continued support and has features that are continually being implemented.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With these next weeks in the semester, we will be working with the Fan Zone to start a trial inventory of 99 items to put into the free version of inFlow, and after the trial is done, we will be meeting with the management of the parent store to determine whether or not it is worth it to buy the full version of inFlow for the St. Cloud store.</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6-6: System Solution Summary</w:t>
      </w:r>
    </w:p>
    <w:p w:rsidR="00000000" w:rsidDel="00000000" w:rsidP="00000000" w:rsidRDefault="00000000" w:rsidRPr="00000000">
      <w:pPr>
        <w:spacing w:line="480" w:lineRule="auto"/>
        <w:contextualSpacing w:val="0"/>
      </w:pPr>
      <w:r w:rsidDel="00000000" w:rsidR="00000000" w:rsidRPr="00000000">
        <w:rPr>
          <w:rtl w:val="0"/>
        </w:rPr>
        <w:t xml:space="preserve">                Since The Fan Zone’s largest problem is the fact they lack an inventory system, implementing one will provide the greatest value within our means. Since capital is limited for new software, we searched for affordable and easy-to-use programs. The system should be able to take count of what the store contains, reduce or increase overall count based on transactions, connect inventory to The Fan Zone’s website, and tell the parent store in Ramsey what they have as to reduce unnecessary re-purchase of inventory already earned. With these criteria in mind, we ultimately chose to go with inFlow Inventory.</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The platform of inFlow will integrate with The Fan Zone’s current cash register (which it uses as the only component of its Point-of-Sale system) and increase the speed per transaction. In connecting the systems, the inventory itself will have to be included in a database. Currently, each item is marked at a certain price and does not have identification codes of any sort, meaning the manager rings up each sale based on what the card was put down for originally. For inFlow to work utilize its potential, each item will have to be catalogued with an identification number and will likely receive a respective barcode. Our focus will be on marking each card with this system, and leaving the vintage apparel for manual ringing in the meantime.</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In creating identification codes for inventory, attributes we’ve taken into consideration include manufacture, player name, sport, and price among other things. Logging on these qualities will allow simple filters to be in place on the online website as to make it easier for customers to find. Currently, the only way to purchase from The Fan Zone is in person, as they do not ship out cards or clothing to buyers. Hopefully through a more robust system inFlow will provide, this will enable the possibility of selling inventory online. This would open up the largest current channel of commerce in the modern day, and may even open up avenues with E-commerce websites such as Amazon to do partnerships.</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As an overall analysis, the benefits to the company will far outweigh the downsides. Sales will be organized in a manner that will make accounting far more simple, both Fan Zone stores will be able to track inventory so if one needs more or less stock orders can be facilitated more accurately, and the overall speed of transactions will decrease human stress and allow potentially more sales. We are confident that implementing inFlow for The Fan Zone will provide them with great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6-4 Total Costs / Benefits Analysis</w:t>
      </w:r>
    </w:p>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720"/>
        <w:gridCol w:w="1710"/>
        <w:gridCol w:w="1725"/>
        <w:gridCol w:w="1725"/>
        <w:tblGridChange w:id="0">
          <w:tblGrid>
            <w:gridCol w:w="465"/>
            <w:gridCol w:w="3720"/>
            <w:gridCol w:w="1710"/>
            <w:gridCol w:w="1725"/>
            <w:gridCol w:w="172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Project Possibilities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Year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Year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Year 3</w:t>
            </w:r>
          </w:p>
        </w:tc>
      </w:tr>
      <w:tr>
        <w:trPr>
          <w:trHeight w:val="460" w:hRule="atLeast"/>
        </w:trPr>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Year end inventory count labor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$216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Quick ordering of low count products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Easy training for new employees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630"/>
        <w:gridCol w:w="1800"/>
        <w:gridCol w:w="1725"/>
        <w:gridCol w:w="1725"/>
        <w:tblGridChange w:id="0">
          <w:tblGrid>
            <w:gridCol w:w="465"/>
            <w:gridCol w:w="3630"/>
            <w:gridCol w:w="1800"/>
            <w:gridCol w:w="1725"/>
            <w:gridCol w:w="1725"/>
          </w:tblGrid>
        </w:tblGridChange>
      </w:tblGrid>
      <w:tr>
        <w:trPr>
          <w:trHeight w:val="440" w:hRule="atLeast"/>
        </w:trPr>
        <w:tc>
          <w:tcPr>
            <w:gridSpan w:val="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inFlow Inventory (Off the Shelf)</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License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Optional Tech Support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(Free for 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$99</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Inventory count when implementing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Year end inventory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Training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Inventory Cost Tracking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Decreased errors in 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 speed of 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Improved reporting to Accountant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-$449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630"/>
        <w:gridCol w:w="1800"/>
        <w:gridCol w:w="1725"/>
        <w:gridCol w:w="1725"/>
        <w:tblGridChange w:id="0">
          <w:tblGrid>
            <w:gridCol w:w="465"/>
            <w:gridCol w:w="3630"/>
            <w:gridCol w:w="1800"/>
            <w:gridCol w:w="1725"/>
            <w:gridCol w:w="1725"/>
          </w:tblGrid>
        </w:tblGridChange>
      </w:tblGrid>
      <w:tr>
        <w:trPr>
          <w:trHeight w:val="420" w:hRule="atLeast"/>
        </w:trPr>
        <w:tc>
          <w:tcPr>
            <w:gridSpan w:val="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In-House Development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Initial 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$499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Training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Continued Support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(Free for 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Inventory count when implementing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Year end inventory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Inventory Cost Tracking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Decreased errors in 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Increased speed of 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Improved reporting to Accountant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6-5.   Feasibility Analysis Matrix with weighted scores</w:t>
      </w:r>
    </w:p>
    <w:p w:rsidR="00000000" w:rsidDel="00000000" w:rsidP="00000000" w:rsidRDefault="00000000" w:rsidRPr="00000000">
      <w:pPr>
        <w:contextualSpacing w:val="0"/>
      </w:pPr>
      <w:r w:rsidDel="00000000" w:rsidR="00000000" w:rsidRPr="00000000">
        <w:rPr>
          <w:rtl w:val="0"/>
        </w:rPr>
      </w:r>
    </w:p>
    <w:tbl>
      <w:tblPr>
        <w:tblStyle w:val="Table4"/>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885"/>
        <w:gridCol w:w="3375"/>
        <w:gridCol w:w="3180"/>
        <w:tblGridChange w:id="0">
          <w:tblGrid>
            <w:gridCol w:w="1890"/>
            <w:gridCol w:w="885"/>
            <w:gridCol w:w="3375"/>
            <w:gridCol w:w="3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Wt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Candidate 1 -</w:t>
            </w:r>
          </w:p>
          <w:p w:rsidR="00000000" w:rsidDel="00000000" w:rsidP="00000000" w:rsidRDefault="00000000" w:rsidRPr="00000000">
            <w:pPr>
              <w:ind w:left="140" w:right="140" w:firstLine="0"/>
              <w:contextualSpacing w:val="0"/>
            </w:pPr>
            <w:r w:rsidDel="00000000" w:rsidR="00000000" w:rsidRPr="00000000">
              <w:rPr>
                <w:rtl w:val="0"/>
              </w:rPr>
              <w:t xml:space="preserve">Build our own 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Candidate 2 -</w:t>
            </w:r>
          </w:p>
          <w:p w:rsidR="00000000" w:rsidDel="00000000" w:rsidP="00000000" w:rsidRDefault="00000000" w:rsidRPr="00000000">
            <w:pPr>
              <w:ind w:left="140" w:right="140" w:firstLine="0"/>
              <w:contextualSpacing w:val="0"/>
            </w:pPr>
            <w:r w:rsidDel="00000000" w:rsidR="00000000" w:rsidRPr="00000000">
              <w:rPr>
                <w:rtl w:val="0"/>
              </w:rPr>
              <w:t xml:space="preserve">Use inFlow</w:t>
            </w:r>
          </w:p>
        </w:tc>
      </w:tr>
      <w:tr>
        <w:trPr>
          <w:trHeight w:val="1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b w:val="1"/>
                <w:rtl w:val="0"/>
              </w:rPr>
              <w:t xml:space="preserve">Operational Feasibility</w:t>
            </w:r>
          </w:p>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Customized exactly to what FanZone needs.</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b w:val="1"/>
                <w:rtl w:val="0"/>
              </w:rPr>
              <w:t xml:space="preserve">Score: 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The software will stay up to date, and will be the most functional option including other locations. </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b w:val="1"/>
                <w:rtl w:val="0"/>
              </w:rPr>
              <w:t xml:space="preserve">Score: 95</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b w:val="1"/>
                <w:rtl w:val="0"/>
              </w:rPr>
              <w:t xml:space="preserve">Technical</w:t>
            </w:r>
          </w:p>
          <w:p w:rsidR="00000000" w:rsidDel="00000000" w:rsidP="00000000" w:rsidRDefault="00000000" w:rsidRPr="00000000">
            <w:pPr>
              <w:ind w:left="140" w:right="140" w:firstLine="0"/>
              <w:contextualSpacing w:val="0"/>
            </w:pPr>
            <w:r w:rsidDel="00000000" w:rsidR="00000000" w:rsidRPr="00000000">
              <w:rPr>
                <w:b w:val="1"/>
                <w:rtl w:val="0"/>
              </w:rPr>
              <w:t xml:space="preserve">Feasibility</w:t>
            </w:r>
          </w:p>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We would be designing the system, so it would be limited to our knowledge of system development.</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b w:val="1"/>
                <w:rtl w:val="0"/>
              </w:rPr>
              <w:t xml:space="preserve">Score: 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By implementing inFlow, we will be using a system that has already been developed by experts.</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b w:val="1"/>
                <w:rtl w:val="0"/>
              </w:rPr>
              <w:t xml:space="preserve">Score: 100</w:t>
            </w:r>
          </w:p>
        </w:tc>
      </w:tr>
      <w:tr>
        <w:trPr>
          <w:trHeight w:val="12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b w:val="1"/>
                <w:rtl w:val="0"/>
              </w:rPr>
              <w:t xml:space="preserve">Schedule</w:t>
            </w:r>
          </w:p>
          <w:p w:rsidR="00000000" w:rsidDel="00000000" w:rsidP="00000000" w:rsidRDefault="00000000" w:rsidRPr="00000000">
            <w:pPr>
              <w:ind w:left="140" w:right="140" w:firstLine="0"/>
              <w:contextualSpacing w:val="0"/>
            </w:pPr>
            <w:r w:rsidDel="00000000" w:rsidR="00000000" w:rsidRPr="00000000">
              <w:rPr>
                <w:b w:val="1"/>
                <w:rtl w:val="0"/>
              </w:rPr>
              <w:t xml:space="preserve">Feasibility</w:t>
            </w:r>
          </w:p>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Would take the rest of the semester, and likely a few weeks after.</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b w:val="1"/>
                <w:rtl w:val="0"/>
              </w:rPr>
              <w:t xml:space="preserve">Score: 40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Would only take a couple weeks to get up and running.</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b w:val="1"/>
                <w:rtl w:val="0"/>
              </w:rPr>
              <w:t xml:space="preserve">Score: 100</w:t>
            </w:r>
          </w:p>
        </w:tc>
      </w:tr>
      <w:tr>
        <w:trPr>
          <w:trHeight w:val="1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b w:val="1"/>
                <w:rtl w:val="0"/>
              </w:rPr>
              <w:t xml:space="preserve">Economic</w:t>
            </w:r>
          </w:p>
          <w:p w:rsidR="00000000" w:rsidDel="00000000" w:rsidP="00000000" w:rsidRDefault="00000000" w:rsidRPr="00000000">
            <w:pPr>
              <w:ind w:left="140" w:right="140" w:firstLine="0"/>
              <w:contextualSpacing w:val="0"/>
            </w:pPr>
            <w:r w:rsidDel="00000000" w:rsidR="00000000" w:rsidRPr="00000000">
              <w:rPr>
                <w:b w:val="1"/>
                <w:rtl w:val="0"/>
              </w:rPr>
              <w:t xml:space="preserve">Feasibility</w:t>
            </w:r>
          </w:p>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We would not charge to create a system for FanZone, but maintenance would need to be outsourced down the road.</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b w:val="1"/>
                <w:rtl w:val="0"/>
              </w:rPr>
              <w:t xml:space="preserve">Score: 90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Would need to purchase a license to be able to implement inFlow use.</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b w:val="1"/>
                <w:rtl w:val="0"/>
              </w:rPr>
              <w:t xml:space="preserve">Score: 50</w:t>
            </w:r>
          </w:p>
        </w:tc>
      </w:tr>
      <w:tr>
        <w:trPr>
          <w:trHeight w:val="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rtl w:val="0"/>
              </w:rPr>
              <w:t xml:space="preserve">Ranking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right="140" w:firstLine="0"/>
              <w:contextualSpacing w:val="0"/>
            </w:pPr>
            <w:r w:rsidDel="00000000" w:rsidR="00000000" w:rsidRPr="00000000">
              <w:rPr>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rtl w:val="0"/>
              </w:rPr>
              <w:t xml:space="preserve">76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rtl w:val="0"/>
              </w:rPr>
              <w:t xml:space="preserve">83.5</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S Mincho"/>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