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When a public repository solves most of the problem — Facilitator Guide</w:t>
      </w:r>
    </w:p>
    <w:p>
      <w:pPr>
        <w:pStyle w:val="Author"/>
      </w:pPr>
      <w:r>
        <w:t xml:space="preserve">ELIXIR-UK RDM Club · FAIR-in-action · ~60 min</w:t>
      </w:r>
    </w:p>
    <w:p>
      <w:pPr>
        <w:pStyle w:val="FirstParagraph"/>
      </w:pPr>
      <w:r>
        <w:rPr>
          <w:i/>
          <w:iCs/>
        </w:rPr>
        <w:t xml:space="preserve">For many data types in life sciences (sequencing, proteomics, structures), depositing in the appropriate community repository handles 80% of FAIR automatically. This module covers how to recognise that situation and guide researchers to the right home.</w:t>
      </w:r>
    </w:p>
    <w:p>
      <w:pPr>
        <w:pStyle w:val="SectionBand"/>
      </w:pPr>
      <w:r>
        <w:t xml:space="preserve">Section 1: Introduction &amp; FAIR principles · 0–10 min</w:t>
      </w:r>
    </w:p>
    <w:p>
      <w:pPr>
        <w:pStyle w:val="BodyText"/>
      </w:pPr>
      <w:r>
        <w:rPr>
          <w:b/>
          <w:bCs/>
        </w:rPr>
        <w:t xml:space="preserve">Key FAIR principles:</w:t>
      </w:r>
      <w:r>
        <w:t xml:space="preserve"> </w:t>
      </w:r>
      <w:r>
        <w:t xml:space="preserve">F, A, I, R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1"/>
        </w:numPr>
      </w:pPr>
      <w:r>
        <w:t xml:space="preserve">Participants can name the four FAIR principles</w:t>
      </w:r>
    </w:p>
    <w:p>
      <w:pPr>
        <w:pStyle w:val="Compact"/>
        <w:numPr>
          <w:ilvl w:val="0"/>
          <w:numId w:val="1001"/>
        </w:numPr>
      </w:pPr>
      <w:r>
        <w:t xml:space="preserve">Participants understand that FAIR has both infrastructure and content dimensions</w:t>
      </w:r>
    </w:p>
    <w:p>
      <w:pPr>
        <w:pStyle w:val="FacilitatorScript"/>
      </w:pPr>
      <w:r>
        <w:t xml:space="preserve">🗣 Welcome. We’ll work through a real, published dataset and see the FAIR principles as actual files and metadata decisions — not theory. The key idea: a repository gives you F and A almost for free; the I and R are your job.</w:t>
      </w:r>
    </w:p>
    <w:p>
      <w:pPr>
        <w:pStyle w:val="Compact"/>
        <w:numPr>
          <w:ilvl w:val="0"/>
          <w:numId w:val="1002"/>
        </w:numPr>
      </w:pPr>
      <w:r>
        <w:t xml:space="preserve">FAIR = Findable, Accessible, Interoperable, Reusable (Wilkinson 2016)</w:t>
      </w:r>
    </w:p>
    <w:p>
      <w:pPr>
        <w:pStyle w:val="Compact"/>
        <w:numPr>
          <w:ilvl w:val="0"/>
          <w:numId w:val="1002"/>
        </w:numPr>
      </w:pPr>
      <w:r>
        <w:t xml:space="preserve">The repository handles the plumbing; the researcher supplies the content</w:t>
      </w:r>
    </w:p>
    <w:p>
      <w:pPr>
        <w:pStyle w:val="FacilitatorTip"/>
      </w:pPr>
      <w:r>
        <w:t xml:space="preserve">💡 Tip: If attendees haven’t seen FAIR before, spend 2 extra minutes pointing to each letter and asking the group what they think it means before revealing the definition — this activates prior knowledge.</w:t>
      </w:r>
    </w:p>
    <w:p>
      <w:pPr>
        <w:pStyle w:val="SectionBand"/>
      </w:pPr>
      <w:r>
        <w:t xml:space="preserve">Section 2: The dataset · 10–15 min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3"/>
        </w:numPr>
      </w:pPr>
      <w:r>
        <w:t xml:space="preserve">Participants know what RNA-seq data consists of and why batch effects matter</w:t>
      </w:r>
    </w:p>
    <w:p>
      <w:pPr>
        <w:pStyle w:val="Compact"/>
        <w:numPr>
          <w:ilvl w:val="0"/>
          <w:numId w:val="1003"/>
        </w:numPr>
      </w:pPr>
      <w:r>
        <w:t xml:space="preserve">Participants can identify the three components of a repository submission</w:t>
      </w:r>
    </w:p>
    <w:p>
      <w:pPr>
        <w:pStyle w:val="FacilitatorScript"/>
      </w:pPr>
      <w:r>
        <w:t xml:space="preserve">🗣 RNA-seq is a great worked example. Three things go into the repository: metadata, raw FASTQ, and the count matrix. Batch effects can swamp the biology — record them in metadata from day one.</w:t>
      </w:r>
    </w:p>
    <w:p>
      <w:pPr>
        <w:pStyle w:val="Compact"/>
        <w:numPr>
          <w:ilvl w:val="0"/>
          <w:numId w:val="1004"/>
        </w:numPr>
      </w:pPr>
      <w:r>
        <w:t xml:space="preserve">Worked dataset: Alivernini et al. 2020 ·</w:t>
      </w:r>
      <w:r>
        <w:t xml:space="preserve"> </w:t>
      </w:r>
      <w:r>
        <w:rPr>
          <w:rStyle w:val="VerbatimChar"/>
        </w:rPr>
        <w:t xml:space="preserve">E-MTAB-9224</w:t>
      </w:r>
    </w:p>
    <w:p>
      <w:pPr>
        <w:pStyle w:val="Compact"/>
        <w:numPr>
          <w:ilvl w:val="0"/>
          <w:numId w:val="1004"/>
        </w:numPr>
      </w:pPr>
      <w:r>
        <w:t xml:space="preserve">Same structure for scRNA-seq, proteomics (PRIDE), metabolomics (MetaboLights)</w:t>
      </w:r>
    </w:p>
    <w:p>
      <w:pPr>
        <w:pStyle w:val="CaptionedFigure"/>
      </w:pPr>
      <w:r>
        <w:drawing>
          <wp:inline>
            <wp:extent cx="5334000" cy="2015490"/>
            <wp:effectExtent b="0" l="0" r="0" t="0"/>
            <wp:docPr descr="Three components of an RNA-seq submission: metadata, raw FASTQ, count matrix" title="" id="10" name="Picture"/>
            <a:graphic>
              <a:graphicData uri="http://schemas.openxmlformats.org/drawingml/2006/picture">
                <pic:pic>
                  <pic:nvPicPr>
                    <pic:cNvPr descr="/tmp/claude-501/decks-If62xK/02-public-repos-component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components of an RNA-seq submission: metadata, raw FASTQ, count matrix</w:t>
      </w:r>
    </w:p>
    <w:p>
      <w:pPr>
        <w:pStyle w:val="FacilitatorTip"/>
      </w:pPr>
      <w:r>
        <w:t xml:space="preserve">💡 Tip: If the group includes non-bioinformaticians, draw the count matrix on a whiteboard (rows = genes, columns = samples, values = read counts). One minute here pays off for the rest of the session.</w:t>
      </w:r>
    </w:p>
    <w:p>
      <w:pPr>
        <w:pStyle w:val="SectionBand"/>
      </w:pPr>
      <w:r>
        <w:t xml:space="preserve">Section 3: Finding the data · 15–25 min</w:t>
      </w:r>
    </w:p>
    <w:p>
      <w:pPr>
        <w:pStyle w:val="BodyText"/>
      </w:pPr>
      <w:r>
        <w:rPr>
          <w:b/>
          <w:bCs/>
        </w:rPr>
        <w:t xml:space="preserve">Key FAIR principles:</w:t>
      </w:r>
      <w:r>
        <w:t xml:space="preserve"> </w:t>
      </w:r>
      <w:r>
        <w:t xml:space="preserve">F1, F4, A1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5"/>
        </w:numPr>
      </w:pPr>
      <w:r>
        <w:t xml:space="preserve">Participants can explain what a persistent identifier is and why it matters</w:t>
      </w:r>
    </w:p>
    <w:p>
      <w:pPr>
        <w:pStyle w:val="Compact"/>
        <w:numPr>
          <w:ilvl w:val="0"/>
          <w:numId w:val="1005"/>
        </w:numPr>
      </w:pPr>
      <w:r>
        <w:t xml:space="preserve">Participants can locate a dataset in ArrayExpress by accession number</w:t>
      </w:r>
    </w:p>
    <w:p>
      <w:pPr>
        <w:pStyle w:val="Compact"/>
        <w:numPr>
          <w:ilvl w:val="0"/>
          <w:numId w:val="1005"/>
        </w:numPr>
      </w:pPr>
      <w:r>
        <w:t xml:space="preserve">Participants understand that open HTTPS access satisfies A1 and A1.1</w:t>
      </w:r>
    </w:p>
    <w:p>
      <w:pPr>
        <w:pStyle w:val="FacilitatorScript"/>
      </w:pPr>
      <w:r>
        <w:t xml:space="preserve">🗣 F1 — the accession is a permanent, citable ID. F4 — indexed and keyword-searchable. One click downloads over HTTPS, no login: that’s A1/A1.1. Then point them at your institution’s preferred repository.</w:t>
      </w:r>
    </w:p>
    <w:p>
      <w:pPr>
        <w:pStyle w:val="Compact"/>
        <w:numPr>
          <w:ilvl w:val="0"/>
          <w:numId w:val="1006"/>
        </w:numPr>
      </w:pPr>
      <w:r>
        <w:t xml:space="preserve">Accession</w:t>
      </w:r>
      <w:r>
        <w:t xml:space="preserve"> </w:t>
      </w:r>
      <w:r>
        <w:rPr>
          <w:rStyle w:val="VerbatimChar"/>
        </w:rPr>
        <w:t xml:space="preserve">E-MTAB-9224</w:t>
      </w:r>
      <w:r>
        <w:t xml:space="preserve"> </w:t>
      </w:r>
      <w:r>
        <w:t xml:space="preserve">is globally unique &amp; persistent</w:t>
      </w:r>
    </w:p>
    <w:p>
      <w:pPr>
        <w:pStyle w:val="Compact"/>
        <w:numPr>
          <w:ilvl w:val="0"/>
          <w:numId w:val="1006"/>
        </w:numPr>
      </w:pPr>
      <w:r>
        <w:t xml:space="preserve">Where your researchers deposit: [ your institution’s preferred repository ]</w:t>
      </w:r>
    </w:p>
    <w:p>
      <w:pPr>
        <w:pStyle w:val="Exercise"/>
      </w:pPr>
      <w:r>
        <w:t xml:space="preserve">✏ Exercise: Exercise 1 (5 min): find the accession in the Alivernini paper, then locate it in ArrayExpress. What’s visible before you download anything?</w:t>
      </w:r>
    </w:p>
    <w:p>
      <w:pPr>
        <w:pStyle w:val="FacilitatorTip"/>
      </w:pPr>
      <w:r>
        <w:t xml:space="preserve">💡 Tip: If attendees struggle to find the accession in the paper, point them to the Data Availability section at the end — a real-world lesson that accession numbers aren’t always prominently placed.</w:t>
      </w:r>
    </w:p>
    <w:p>
      <w:pPr>
        <w:pStyle w:val="SectionBand"/>
      </w:pPr>
      <w:r>
        <w:t xml:space="preserve">Section 4: Metadata &amp; community standards · 25–40 min</w:t>
      </w:r>
    </w:p>
    <w:p>
      <w:pPr>
        <w:pStyle w:val="BodyText"/>
      </w:pPr>
      <w:r>
        <w:rPr>
          <w:b/>
          <w:bCs/>
        </w:rPr>
        <w:t xml:space="preserve">Key FAIR principles:</w:t>
      </w:r>
      <w:r>
        <w:t xml:space="preserve"> </w:t>
      </w:r>
      <w:r>
        <w:t xml:space="preserve">F2, F3, R1.3, I1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7"/>
        </w:numPr>
      </w:pPr>
      <w:r>
        <w:t xml:space="preserve">Participants can describe what MAGE-TAB (IDF + SDRF) is and what each file contains</w:t>
      </w:r>
    </w:p>
    <w:p>
      <w:pPr>
        <w:pStyle w:val="Compact"/>
        <w:numPr>
          <w:ilvl w:val="0"/>
          <w:numId w:val="1007"/>
        </w:numPr>
      </w:pPr>
      <w:r>
        <w:t xml:space="preserve">Participants can critically assess whether metadata is sufficient for reuse</w:t>
      </w:r>
    </w:p>
    <w:p>
      <w:pPr>
        <w:pStyle w:val="Compact"/>
        <w:numPr>
          <w:ilvl w:val="0"/>
          <w:numId w:val="1007"/>
        </w:numPr>
      </w:pPr>
      <w:r>
        <w:t xml:space="preserve">Participants understand the role of ontologies in making metadata interoperable</w:t>
      </w:r>
    </w:p>
    <w:p>
      <w:pPr>
        <w:pStyle w:val="FacilitatorScript"/>
      </w:pPr>
      <w:r>
        <w:t xml:space="preserve">🗣 This is where FAIR is won or lost. MAGE-TAB = IDF (study-level) + SDRF (per-sample + file links). Use ontology terms (EFO, OBI, UBERON), not free text, so machines can read it.</w:t>
      </w:r>
    </w:p>
    <w:p>
      <w:pPr>
        <w:pStyle w:val="Compact"/>
        <w:numPr>
          <w:ilvl w:val="0"/>
          <w:numId w:val="1008"/>
        </w:numPr>
      </w:pPr>
      <w:r>
        <w:t xml:space="preserve">F2 rich metadata · F3 SDRF links each sample to its FASTQ</w:t>
      </w:r>
    </w:p>
    <w:p>
      <w:pPr>
        <w:pStyle w:val="Compact"/>
        <w:numPr>
          <w:ilvl w:val="0"/>
          <w:numId w:val="1008"/>
        </w:numPr>
      </w:pPr>
      <w:r>
        <w:t xml:space="preserve">R1.3 community standard (MAGE-TAB) · I1 controlled vocabularies</w:t>
      </w:r>
    </w:p>
    <w:p>
      <w:pPr>
        <w:pStyle w:val="Exercise"/>
      </w:pPr>
      <w:r>
        <w:t xml:space="preserve">✏ Exercise: Exercise 2 (8 min): open the SDRF for E-MTAB-9224. Clear variable names? Batch info recorded? Ontology URIs or free text? Could you reuse it without contacting the authors?</w:t>
      </w:r>
    </w:p>
    <w:p>
      <w:pPr>
        <w:pStyle w:val="FacilitatorTip"/>
      </w:pPr>
      <w:r>
        <w:t xml:space="preserve">💡 Tip: Allow 2–3 minutes for pairs to discuss before opening up to the group. If time is short, skip the hands-on element and walk through a single SDRF row together, pointing out fields that are and aren’t present.</w:t>
      </w:r>
    </w:p>
    <w:p>
      <w:pPr>
        <w:pStyle w:val="SectionBand"/>
      </w:pPr>
      <w:r>
        <w:t xml:space="preserve">Section 5: Building a FAIR metadata spreadsheet · 40–50 min</w:t>
      </w:r>
    </w:p>
    <w:p>
      <w:pPr>
        <w:pStyle w:val="BodyText"/>
      </w:pPr>
      <w:r>
        <w:rPr>
          <w:b/>
          <w:bCs/>
        </w:rPr>
        <w:t xml:space="preserve">Key FAIR principles:</w:t>
      </w:r>
      <w:r>
        <w:t xml:space="preserve"> </w:t>
      </w:r>
      <w:r>
        <w:t xml:space="preserve">F2, R1, R1.2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9"/>
        </w:numPr>
      </w:pPr>
      <w:r>
        <w:t xml:space="preserve">Participants can complete a minimum-viable RNA-seq metadata spreadsheet</w:t>
      </w:r>
    </w:p>
    <w:p>
      <w:pPr>
        <w:pStyle w:val="Compact"/>
        <w:numPr>
          <w:ilvl w:val="0"/>
          <w:numId w:val="1009"/>
        </w:numPr>
      </w:pPr>
      <w:r>
        <w:t xml:space="preserve">Participants understand that good FAIR practice begins at experimental design, not submission</w:t>
      </w:r>
    </w:p>
    <w:p>
      <w:pPr>
        <w:pStyle w:val="FacilitatorScript"/>
      </w:pPr>
      <w:r>
        <w:t xml:space="preserve">🗣 Everything we’ve discussed comes from a spreadsheet you fill in as you run the experiment — which becomes the SDRF. Annotare can’t conjure information that was never recorded; batch info especially is lost if not captured at the bench.</w:t>
      </w:r>
    </w:p>
    <w:p>
      <w:pPr>
        <w:pStyle w:val="Compact"/>
        <w:numPr>
          <w:ilvl w:val="0"/>
          <w:numId w:val="1010"/>
        </w:numPr>
      </w:pPr>
      <w:r>
        <w:t xml:space="preserve">Compulsory: sample IDs, condition, replicates, platform, reference genome + version, protocol</w:t>
      </w:r>
    </w:p>
    <w:p>
      <w:pPr>
        <w:pStyle w:val="Compact"/>
        <w:numPr>
          <w:ilvl w:val="0"/>
          <w:numId w:val="1010"/>
        </w:numPr>
      </w:pPr>
      <w:r>
        <w:t xml:space="preserve">Strongly recommended: batch (run/date/operator), RIN, QC, confounders, software versions</w:t>
      </w:r>
    </w:p>
    <w:p>
      <w:pPr>
        <w:pStyle w:val="FacilitatorTip"/>
      </w:pPr>
      <w:r>
        <w:t xml:space="preserve">💡 Tip: The key insight: most metadata cannot be retrospectively retrieved — batch information in particular is often lost if not recorded at the bench. For advanced groups, ask them to look up the EFO term for</w:t>
      </w:r>
      <w:r>
        <w:t xml:space="preserve"> </w:t>
      </w:r>
      <w:r>
        <w:t xml:space="preserve">‘rheumatoid arthritis’</w:t>
      </w:r>
      <w:r>
        <w:t xml:space="preserve"> </w:t>
      </w:r>
      <w:r>
        <w:t xml:space="preserve">at ebi.ac.uk/ols4.</w:t>
      </w:r>
    </w:p>
    <w:p>
      <w:pPr>
        <w:pStyle w:val="SectionBand"/>
      </w:pPr>
      <w:r>
        <w:t xml:space="preserve">Section 6: Licensing, provenance &amp; wrap-up · 50–60 min</w:t>
      </w:r>
    </w:p>
    <w:p>
      <w:pPr>
        <w:pStyle w:val="BodyText"/>
      </w:pPr>
      <w:r>
        <w:rPr>
          <w:b/>
          <w:bCs/>
        </w:rPr>
        <w:t xml:space="preserve">Key FAIR principles:</w:t>
      </w:r>
      <w:r>
        <w:t xml:space="preserve"> </w:t>
      </w:r>
      <w:r>
        <w:t xml:space="preserve">R1.1, R1.2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11"/>
        </w:numPr>
      </w:pPr>
      <w:r>
        <w:t xml:space="preserve">Participants understand why a data licence is required and know the common options</w:t>
      </w:r>
    </w:p>
    <w:p>
      <w:pPr>
        <w:pStyle w:val="Compact"/>
        <w:numPr>
          <w:ilvl w:val="0"/>
          <w:numId w:val="1011"/>
        </w:numPr>
      </w:pPr>
      <w:r>
        <w:t xml:space="preserve">Participants can articulate the most common failures in FAIR practice</w:t>
      </w:r>
    </w:p>
    <w:p>
      <w:pPr>
        <w:pStyle w:val="Compact"/>
        <w:numPr>
          <w:ilvl w:val="0"/>
          <w:numId w:val="1011"/>
        </w:numPr>
      </w:pPr>
      <w:r>
        <w:t xml:space="preserve">Participants can map each FAIR principle to the correct lifecycle stage</w:t>
      </w:r>
    </w:p>
    <w:p>
      <w:pPr>
        <w:pStyle w:val="FacilitatorScript"/>
      </w:pPr>
      <w:r>
        <w:t xml:space="preserve">🗣 No licence = others can’t legally reuse it (CC0 or CC-BY). Provenance: genome build and software versions matter. Take-home: repositories do F/A, you supply I/R, and FAIR starts at experimental design. Ask everyone for one specific change they’ll make.</w:t>
      </w:r>
    </w:p>
    <w:p>
      <w:pPr>
        <w:pStyle w:val="Compact"/>
        <w:numPr>
          <w:ilvl w:val="0"/>
          <w:numId w:val="1012"/>
        </w:numPr>
      </w:pPr>
      <w:r>
        <w:t xml:space="preserve">Repository handles F1, F3, F4, A1, A2 · you must provide F2, I1, R1</w:t>
      </w:r>
    </w:p>
    <w:p>
      <w:pPr>
        <w:pStyle w:val="Compact"/>
        <w:numPr>
          <w:ilvl w:val="0"/>
          <w:numId w:val="1012"/>
        </w:numPr>
      </w:pPr>
      <w:r>
        <w:t xml:space="preserve">Local support: [ set up your institution profile ]</w:t>
      </w:r>
    </w:p>
    <w:p>
      <w:pPr>
        <w:pStyle w:val="FacilitatorTip"/>
      </w:pPr>
      <w:r>
        <w:t xml:space="preserve">💡 Tip: The</w:t>
      </w:r>
      <w:r>
        <w:t xml:space="preserve"> </w:t>
      </w:r>
      <w:r>
        <w:t xml:space="preserve">‘one specific change’</w:t>
      </w:r>
      <w:r>
        <w:t xml:space="preserve"> </w:t>
      </w:r>
      <w:r>
        <w:t xml:space="preserve">prompt is a closing commitment device — people are more likely to act on a concrete, self-generated commitment than a general instruction. Signpost the Galaxy RNA-seq FAIR tutorial as follow-up.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ectionBand" w:type="paragraph">
    <w:name w:val="Section Band"/>
    <w:basedOn w:val="Normal"/>
    <w:pPr>
      <w:shd w:color="auto" w:fill="023452" w:val="clear"/>
      <w:spacing w:after="220" w:before="400" w:line="276" w:lineRule="auto"/>
      <w:ind w:left="170" w:right="170"/>
    </w:pPr>
    <w:rPr>
      <w:b/>
      <w:color w:val="FFFFFF"/>
      <w:sz w:val="30"/>
    </w:rPr>
  </w:style>
  <w:style w:styleId="FacilitatorScript" w:type="paragraph">
    <w:name w:val="Facilitator Script"/>
    <w:basedOn w:val="Normal"/>
    <w:pPr>
      <w:pBdr>
        <w:left w:color="037EAB" w:space="12" w:sz="24" w:val="single"/>
      </w:pBdr>
      <w:shd w:color="auto" w:fill="E6F2F7" w:val="clear"/>
      <w:spacing w:after="160" w:before="160" w:line="276" w:lineRule="auto"/>
      <w:ind w:left="260" w:right="200"/>
    </w:pPr>
  </w:style>
  <w:style w:styleId="FacilitatorTip" w:type="paragraph">
    <w:name w:val="Facilitator Tip"/>
    <w:basedOn w:val="Normal"/>
    <w:pPr>
      <w:pBdr>
        <w:left w:color="4A6577" w:space="12" w:sz="24" w:val="single"/>
      </w:pBdr>
      <w:shd w:color="auto" w:fill="EEF1F3" w:val="clear"/>
      <w:spacing w:after="160" w:before="160" w:line="276" w:lineRule="auto"/>
      <w:ind w:left="260" w:right="200"/>
    </w:pPr>
    <w:rPr>
      <w:i/>
    </w:rPr>
  </w:style>
  <w:style w:styleId="Exercise" w:type="paragraph">
    <w:name w:val="Exercise"/>
    <w:basedOn w:val="Normal"/>
    <w:pPr>
      <w:pBdr>
        <w:left w:color="F47D20" w:space="12" w:sz="24" w:val="single"/>
      </w:pBdr>
      <w:shd w:color="auto" w:fill="FDF0E4" w:val="clear"/>
      <w:spacing w:after="160" w:before="160" w:line="276" w:lineRule="auto"/>
      <w:ind w:left="260" w:right="20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023452"/>
      </a:accent1>
      <a:accent2>
        <a:srgbClr val="F47D20"/>
      </a:accent2>
      <a:accent3>
        <a:srgbClr val="037EAB"/>
      </a:accent3>
      <a:accent4>
        <a:srgbClr val="4A6577"/>
      </a:accent4>
      <a:accent5>
        <a:srgbClr val="023452"/>
      </a:accent5>
      <a:accent6>
        <a:srgbClr val="F47D20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a public repository solves most of the problem — Facilitator Guide</dc:title>
  <dc:creator>ELIXIR-UK RDM Club · FAIR-in-action · ~60 min</dc:creator>
  <cp:keywords/>
  <dcterms:created xsi:type="dcterms:W3CDTF">2026-06-12T13:55:23Z</dcterms:created>
  <dcterms:modified xsi:type="dcterms:W3CDTF">2026-06-12T13:55:23Z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