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re1"/>
      </w:pPr>
      <w:r>
        <w:t xml:space="preserve">Note de cadrage - formulaire en ligne</w:t>
      </w:r>
    </w:p>
    <w:p>
      <w:r>
        <w:t xml:space="preserve">Ce document Word sert à montrer l'aperçu des fichiers que le panneau ne lit pas lui-même : l'exemple Anna le convertit en Markdown, sans dépendance.</w:t>
      </w:r>
    </w:p>
    <w:p>
      <w:pPr>
        <w:pStyle w:val="Titre2"/>
      </w:pPr>
      <w:r>
        <w:t xml:space="preserve">Objectifs</w:t>
      </w:r>
    </w:p>
    <w:p>
      <w:pPr>
        <w:numPr>
          <w:ilvl w:val="0"/>
          <w:numId w:val="1"/>
        </w:numPr>
      </w:pPr>
      <w:r>
        <w:t xml:space="preserve">Proposer la demande en ligne aux usagers</w:t>
      </w:r>
    </w:p>
    <w:p>
      <w:pPr>
        <w:numPr>
          <w:ilvl w:val="0"/>
          <w:numId w:val="1"/>
        </w:numPr>
      </w:pPr>
      <w:r>
        <w:t xml:space="preserve">Valider les champs côté API</w:t>
      </w:r>
    </w:p>
    <w:p>
      <w:pPr>
        <w:numPr>
          <w:ilvl w:val="0"/>
          <w:numId w:val="1"/>
        </w:numPr>
      </w:pPr>
      <w:r>
        <w:t xml:space="preserve">Reprendre les composants du design system Ori</w:t>
      </w:r>
    </w:p>
    <w:p>
      <w:pPr>
        <w:pStyle w:val="Titre2"/>
      </w:pPr>
      <w:r>
        <w:t xml:space="preserve">Calendrier</w:t>
      </w:r>
    </w:p>
    <w:p>
      <w:r>
        <w:t xml:space="preserve">Une première version est attendue pour la fin du trimestre, après une phase de tests avec quelques services.</w:t>
      </w:r>
    </w:p>
  </w:body>
</w:document>
</file>