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80D32" w14:textId="77777777" w:rsidR="00DF7678" w:rsidRPr="001B66F2" w:rsidRDefault="00AA4C44" w:rsidP="00AA4C44">
      <w:pPr>
        <w:jc w:val="center"/>
        <w:rPr>
          <w:rFonts w:ascii="Meiryo UI" w:eastAsia="Meiryo UI" w:hAnsi="Meiryo UI" w:cs="Meiryo UI"/>
          <w:b/>
          <w:bCs/>
          <w:szCs w:val="21"/>
        </w:rPr>
      </w:pPr>
      <w:r w:rsidRPr="001B66F2">
        <w:rPr>
          <w:rFonts w:ascii="Meiryo UI" w:eastAsia="Meiryo UI" w:hAnsi="Meiryo UI" w:cs="Meiryo UI" w:hint="eastAsia"/>
          <w:b/>
          <w:bCs/>
          <w:szCs w:val="21"/>
        </w:rPr>
        <w:t>与信管理規程</w:t>
      </w:r>
    </w:p>
    <w:p w14:paraId="36AF03AB" w14:textId="77777777" w:rsidR="00AA4C44" w:rsidRPr="00333F7D" w:rsidRDefault="00AA4C44">
      <w:pPr>
        <w:rPr>
          <w:rFonts w:ascii="Meiryo UI" w:eastAsia="Meiryo UI" w:hAnsi="Meiryo UI" w:cs="Meiryo UI"/>
          <w:szCs w:val="21"/>
        </w:rPr>
      </w:pPr>
    </w:p>
    <w:p w14:paraId="732C7C0D" w14:textId="77777777" w:rsidR="00AA4C44" w:rsidRPr="00333F7D" w:rsidRDefault="00AA4C44" w:rsidP="00333F7D">
      <w:pPr>
        <w:jc w:val="center"/>
        <w:rPr>
          <w:rFonts w:ascii="Meiryo UI" w:eastAsia="Meiryo UI" w:hAnsi="Meiryo UI" w:cs="Meiryo UI"/>
          <w:szCs w:val="21"/>
        </w:rPr>
      </w:pPr>
      <w:r w:rsidRPr="00333F7D">
        <w:rPr>
          <w:rFonts w:ascii="Meiryo UI" w:eastAsia="Meiryo UI" w:hAnsi="Meiryo UI" w:cs="Meiryo UI" w:hint="eastAsia"/>
          <w:szCs w:val="21"/>
        </w:rPr>
        <w:t>第１章　総則</w:t>
      </w:r>
    </w:p>
    <w:p w14:paraId="0CA00320"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w:t>
      </w:r>
      <w:r>
        <w:rPr>
          <w:rFonts w:ascii="Meiryo UI" w:eastAsia="Meiryo UI" w:hAnsi="Meiryo UI" w:cs="Meiryo UI" w:hint="eastAsia"/>
          <w:szCs w:val="21"/>
        </w:rPr>
        <w:t>条</w:t>
      </w:r>
      <w:r w:rsidR="00AA4C44" w:rsidRPr="00333F7D">
        <w:rPr>
          <w:rFonts w:ascii="Meiryo UI" w:eastAsia="Meiryo UI" w:hAnsi="Meiryo UI" w:cs="Meiryo UI" w:hint="eastAsia"/>
          <w:szCs w:val="21"/>
        </w:rPr>
        <w:t>（目的）</w:t>
      </w:r>
    </w:p>
    <w:p w14:paraId="71A49499"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本規程は、当社における、与信限度の設定、管理および債権保全に必要な手続を定め、当社と取引先との間の信用取引において、健全な販売活動を図ることを目的とする。</w:t>
      </w:r>
    </w:p>
    <w:p w14:paraId="51E5B7B4" w14:textId="77777777" w:rsidR="00AA4C44" w:rsidRPr="00333F7D" w:rsidRDefault="00AA4C44" w:rsidP="00AA4C44">
      <w:pPr>
        <w:rPr>
          <w:rFonts w:ascii="Meiryo UI" w:eastAsia="Meiryo UI" w:hAnsi="Meiryo UI" w:cs="Meiryo UI"/>
          <w:szCs w:val="21"/>
        </w:rPr>
      </w:pPr>
    </w:p>
    <w:p w14:paraId="74C5539F"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2</w:t>
      </w:r>
      <w:r>
        <w:rPr>
          <w:rFonts w:ascii="Meiryo UI" w:eastAsia="Meiryo UI" w:hAnsi="Meiryo UI" w:cs="Meiryo UI" w:hint="eastAsia"/>
          <w:szCs w:val="21"/>
        </w:rPr>
        <w:t>条</w:t>
      </w:r>
      <w:r w:rsidR="00AA4C44" w:rsidRPr="00333F7D">
        <w:rPr>
          <w:rFonts w:ascii="Meiryo UI" w:eastAsia="Meiryo UI" w:hAnsi="Meiryo UI" w:cs="Meiryo UI" w:hint="eastAsia"/>
          <w:szCs w:val="21"/>
        </w:rPr>
        <w:t>（適用の範囲）</w:t>
      </w:r>
    </w:p>
    <w:p w14:paraId="5125F5CB"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本規程は、すべての取引先に適用する。</w:t>
      </w:r>
    </w:p>
    <w:p w14:paraId="3853507A" w14:textId="77777777" w:rsidR="00AA4C44" w:rsidRPr="00333F7D" w:rsidRDefault="00AA4C44" w:rsidP="00AA4C44">
      <w:pPr>
        <w:rPr>
          <w:rFonts w:ascii="Meiryo UI" w:eastAsia="Meiryo UI" w:hAnsi="Meiryo UI" w:cs="Meiryo UI"/>
          <w:szCs w:val="21"/>
        </w:rPr>
      </w:pPr>
    </w:p>
    <w:p w14:paraId="6F432917"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3</w:t>
      </w:r>
      <w:r>
        <w:rPr>
          <w:rFonts w:ascii="Meiryo UI" w:eastAsia="Meiryo UI" w:hAnsi="Meiryo UI" w:cs="Meiryo UI" w:hint="eastAsia"/>
          <w:szCs w:val="21"/>
        </w:rPr>
        <w:t>条</w:t>
      </w:r>
      <w:r w:rsidR="00AA4C44" w:rsidRPr="00333F7D">
        <w:rPr>
          <w:rFonts w:ascii="Meiryo UI" w:eastAsia="Meiryo UI" w:hAnsi="Meiryo UI" w:cs="Meiryo UI" w:hint="eastAsia"/>
          <w:szCs w:val="21"/>
        </w:rPr>
        <w:t>（債権の範囲）</w:t>
      </w:r>
    </w:p>
    <w:p w14:paraId="7E8C5036"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本規程における債権とは、売掛金、未収入金、立替金、貸付金をいう。</w:t>
      </w:r>
    </w:p>
    <w:p w14:paraId="67EE275E" w14:textId="77777777" w:rsidR="00AA4C44" w:rsidRPr="00333F7D" w:rsidRDefault="00AA4C44" w:rsidP="00AA4C44">
      <w:pPr>
        <w:rPr>
          <w:rFonts w:ascii="Meiryo UI" w:eastAsia="Meiryo UI" w:hAnsi="Meiryo UI" w:cs="Meiryo UI"/>
          <w:szCs w:val="21"/>
        </w:rPr>
      </w:pPr>
    </w:p>
    <w:p w14:paraId="366935D0"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～作成のポイント～</w:t>
      </w:r>
    </w:p>
    <w:p w14:paraId="7D423F48"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自社における債権科目を記載します。</w:t>
      </w:r>
    </w:p>
    <w:p w14:paraId="71829B60" w14:textId="77777777" w:rsidR="00AA4C44" w:rsidRPr="00333F7D" w:rsidRDefault="00AA4C44" w:rsidP="00AA4C44">
      <w:pPr>
        <w:rPr>
          <w:rFonts w:ascii="Meiryo UI" w:eastAsia="Meiryo UI" w:hAnsi="Meiryo UI" w:cs="Meiryo UI"/>
          <w:szCs w:val="21"/>
        </w:rPr>
      </w:pPr>
    </w:p>
    <w:p w14:paraId="3A8F9335"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4</w:t>
      </w:r>
      <w:r>
        <w:rPr>
          <w:rFonts w:ascii="Meiryo UI" w:eastAsia="Meiryo UI" w:hAnsi="Meiryo UI" w:cs="Meiryo UI" w:hint="eastAsia"/>
          <w:szCs w:val="21"/>
        </w:rPr>
        <w:t>条</w:t>
      </w:r>
      <w:r w:rsidR="00AA4C44" w:rsidRPr="00333F7D">
        <w:rPr>
          <w:rFonts w:ascii="Meiryo UI" w:eastAsia="Meiryo UI" w:hAnsi="Meiryo UI" w:cs="Meiryo UI" w:hint="eastAsia"/>
          <w:szCs w:val="21"/>
        </w:rPr>
        <w:t>（定義）</w:t>
      </w:r>
    </w:p>
    <w:p w14:paraId="310F304C"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本規程における用語の定義は、次のとおりとする。</w:t>
      </w:r>
    </w:p>
    <w:p w14:paraId="2EBC977F" w14:textId="77777777" w:rsidR="00AA4C44" w:rsidRPr="00333F7D" w:rsidRDefault="00AA4C44" w:rsidP="00533566">
      <w:pPr>
        <w:ind w:leftChars="100" w:left="210"/>
        <w:rPr>
          <w:rFonts w:ascii="Meiryo UI" w:eastAsia="Meiryo UI" w:hAnsi="Meiryo UI" w:cs="Meiryo UI"/>
          <w:szCs w:val="21"/>
        </w:rPr>
      </w:pPr>
      <w:r w:rsidRPr="00333F7D">
        <w:rPr>
          <w:rFonts w:ascii="Meiryo UI" w:eastAsia="Meiryo UI" w:hAnsi="Meiryo UI" w:cs="Meiryo UI" w:hint="eastAsia"/>
          <w:szCs w:val="21"/>
        </w:rPr>
        <w:t>（</w:t>
      </w:r>
      <w:r w:rsidR="00533566">
        <w:rPr>
          <w:rFonts w:ascii="Meiryo UI" w:eastAsia="Meiryo UI" w:hAnsi="Meiryo UI" w:cs="Meiryo UI" w:hint="eastAsia"/>
          <w:szCs w:val="21"/>
        </w:rPr>
        <w:t>１）</w:t>
      </w:r>
      <w:r w:rsidRPr="00333F7D">
        <w:rPr>
          <w:rFonts w:ascii="Meiryo UI" w:eastAsia="Meiryo UI" w:hAnsi="Meiryo UI" w:cs="Meiryo UI" w:hint="eastAsia"/>
          <w:szCs w:val="21"/>
        </w:rPr>
        <w:t>与信限度とは、当社が取引先に対して設定する信用供与の最高限度をいう。</w:t>
      </w:r>
    </w:p>
    <w:p w14:paraId="140CAC58" w14:textId="77777777" w:rsidR="00AA4C44" w:rsidRPr="00333F7D" w:rsidRDefault="00533566" w:rsidP="00533566">
      <w:pPr>
        <w:ind w:leftChars="100" w:left="210"/>
        <w:rPr>
          <w:rFonts w:ascii="Meiryo UI" w:eastAsia="Meiryo UI" w:hAnsi="Meiryo UI" w:cs="Meiryo UI"/>
          <w:szCs w:val="21"/>
        </w:rPr>
      </w:pPr>
      <w:r>
        <w:rPr>
          <w:rFonts w:ascii="Meiryo UI" w:eastAsia="Meiryo UI" w:hAnsi="Meiryo UI" w:cs="Meiryo UI" w:hint="eastAsia"/>
          <w:szCs w:val="21"/>
        </w:rPr>
        <w:t>（２）</w:t>
      </w:r>
      <w:r w:rsidR="00AA4C44" w:rsidRPr="00333F7D">
        <w:rPr>
          <w:rFonts w:ascii="Meiryo UI" w:eastAsia="Meiryo UI" w:hAnsi="Meiryo UI" w:cs="Meiryo UI" w:hint="eastAsia"/>
          <w:szCs w:val="21"/>
        </w:rPr>
        <w:t>与信限度の更新とは、取引先に対する与信限度の変更を行うことをいう。</w:t>
      </w:r>
    </w:p>
    <w:p w14:paraId="453C7134" w14:textId="77777777" w:rsidR="00AA4C44" w:rsidRPr="00333F7D" w:rsidRDefault="00AA4C44" w:rsidP="00AA4C44">
      <w:pPr>
        <w:rPr>
          <w:rFonts w:ascii="Meiryo UI" w:eastAsia="Meiryo UI" w:hAnsi="Meiryo UI" w:cs="Meiryo UI"/>
          <w:szCs w:val="21"/>
        </w:rPr>
      </w:pPr>
    </w:p>
    <w:p w14:paraId="3ACFAB70"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5</w:t>
      </w:r>
      <w:r>
        <w:rPr>
          <w:rFonts w:ascii="Meiryo UI" w:eastAsia="Meiryo UI" w:hAnsi="Meiryo UI" w:cs="Meiryo UI" w:hint="eastAsia"/>
          <w:szCs w:val="21"/>
        </w:rPr>
        <w:t>条</w:t>
      </w:r>
      <w:r w:rsidR="00AA4C44" w:rsidRPr="00333F7D">
        <w:rPr>
          <w:rFonts w:ascii="Meiryo UI" w:eastAsia="Meiryo UI" w:hAnsi="Meiryo UI" w:cs="Meiryo UI" w:hint="eastAsia"/>
          <w:szCs w:val="21"/>
        </w:rPr>
        <w:t>（主管部門および責任者）</w:t>
      </w:r>
    </w:p>
    <w:p w14:paraId="4BF0AF78"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本規程は別に定める「業務分掌規程」に従い、与信管理管掌部門を管掌部門とし、責任者は与信管理管掌役員とする。</w:t>
      </w:r>
    </w:p>
    <w:p w14:paraId="6B8868E1" w14:textId="77777777" w:rsidR="00AA4C44" w:rsidRPr="00333F7D" w:rsidRDefault="00AA4C44" w:rsidP="00AA4C44">
      <w:pPr>
        <w:rPr>
          <w:rFonts w:ascii="Meiryo UI" w:eastAsia="Meiryo UI" w:hAnsi="Meiryo UI" w:cs="Meiryo UI"/>
          <w:szCs w:val="21"/>
        </w:rPr>
      </w:pPr>
    </w:p>
    <w:p w14:paraId="6B2C7B38"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～作成のポイント～</w:t>
      </w:r>
    </w:p>
    <w:p w14:paraId="247FFA5F"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自社の組織における権限や責任範囲に応じて管掌部門と責任者を設定します。</w:t>
      </w:r>
    </w:p>
    <w:p w14:paraId="5CB4DF0F" w14:textId="77777777" w:rsidR="00AA4C44" w:rsidRPr="00333F7D" w:rsidRDefault="00AA4C44" w:rsidP="00AA4C44">
      <w:pPr>
        <w:rPr>
          <w:rFonts w:ascii="Meiryo UI" w:eastAsia="Meiryo UI" w:hAnsi="Meiryo UI" w:cs="Meiryo UI"/>
          <w:szCs w:val="21"/>
        </w:rPr>
      </w:pPr>
    </w:p>
    <w:p w14:paraId="21DE2668" w14:textId="77777777" w:rsidR="00AA4C44" w:rsidRPr="00333F7D" w:rsidRDefault="00AA4C44" w:rsidP="00333F7D">
      <w:pPr>
        <w:jc w:val="center"/>
        <w:rPr>
          <w:rFonts w:ascii="Meiryo UI" w:eastAsia="Meiryo UI" w:hAnsi="Meiryo UI" w:cs="Meiryo UI"/>
          <w:szCs w:val="21"/>
        </w:rPr>
      </w:pPr>
      <w:r w:rsidRPr="00333F7D">
        <w:rPr>
          <w:rFonts w:ascii="Meiryo UI" w:eastAsia="Meiryo UI" w:hAnsi="Meiryo UI" w:cs="Meiryo UI" w:hint="eastAsia"/>
          <w:szCs w:val="21"/>
        </w:rPr>
        <w:t>第２章　与信設定</w:t>
      </w:r>
    </w:p>
    <w:p w14:paraId="62742318"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6</w:t>
      </w:r>
      <w:r>
        <w:rPr>
          <w:rFonts w:ascii="Meiryo UI" w:eastAsia="Meiryo UI" w:hAnsi="Meiryo UI" w:cs="Meiryo UI" w:hint="eastAsia"/>
          <w:szCs w:val="21"/>
        </w:rPr>
        <w:t>条</w:t>
      </w:r>
      <w:r w:rsidR="00AA4C44" w:rsidRPr="00333F7D">
        <w:rPr>
          <w:rFonts w:ascii="Meiryo UI" w:eastAsia="Meiryo UI" w:hAnsi="Meiryo UI" w:cs="Meiryo UI" w:hint="eastAsia"/>
          <w:szCs w:val="21"/>
        </w:rPr>
        <w:t>（取引の開始）</w:t>
      </w:r>
    </w:p>
    <w:p w14:paraId="1C733C38"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継続取引を開始する揚合は、本規程に基づき、与信限度を設定する。</w:t>
      </w:r>
    </w:p>
    <w:p w14:paraId="0BD9E46C" w14:textId="77777777" w:rsidR="00AA4C44" w:rsidRPr="00333F7D" w:rsidRDefault="00AA4C44" w:rsidP="00AA4C44">
      <w:pPr>
        <w:rPr>
          <w:rFonts w:ascii="Meiryo UI" w:eastAsia="Meiryo UI" w:hAnsi="Meiryo UI" w:cs="Meiryo UI"/>
          <w:szCs w:val="21"/>
        </w:rPr>
      </w:pPr>
    </w:p>
    <w:p w14:paraId="411CBFED"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7</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（与信限度額の設定）</w:t>
      </w:r>
    </w:p>
    <w:p w14:paraId="06FBC5E3"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不良債権の発生を防止するために、取引先毎に与信限度額を設定しなければならない。</w:t>
      </w:r>
    </w:p>
    <w:p w14:paraId="03E34054"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２．与信限度額の設定にあたっては、次の各号の事項を勘案して決定する。</w:t>
      </w:r>
    </w:p>
    <w:p w14:paraId="40278618" w14:textId="77777777" w:rsidR="00AA4C44" w:rsidRPr="00333F7D" w:rsidRDefault="00533566" w:rsidP="00533566">
      <w:pPr>
        <w:ind w:leftChars="100" w:left="210"/>
        <w:rPr>
          <w:rFonts w:ascii="Meiryo UI" w:eastAsia="Meiryo UI" w:hAnsi="Meiryo UI" w:cs="Meiryo UI"/>
          <w:szCs w:val="21"/>
        </w:rPr>
      </w:pPr>
      <w:r>
        <w:rPr>
          <w:rFonts w:ascii="Meiryo UI" w:eastAsia="Meiryo UI" w:hAnsi="Meiryo UI" w:cs="Meiryo UI" w:hint="eastAsia"/>
          <w:szCs w:val="21"/>
        </w:rPr>
        <w:t>（１）</w:t>
      </w:r>
      <w:r w:rsidR="00AA4C44" w:rsidRPr="00333F7D">
        <w:rPr>
          <w:rFonts w:ascii="Meiryo UI" w:eastAsia="Meiryo UI" w:hAnsi="Meiryo UI" w:cs="Meiryo UI" w:hint="eastAsia"/>
          <w:szCs w:val="21"/>
        </w:rPr>
        <w:t>信用評価及び信用評価に準拠する与信限度額</w:t>
      </w:r>
    </w:p>
    <w:p w14:paraId="47502DAC" w14:textId="77777777" w:rsidR="00AA4C44" w:rsidRPr="00333F7D" w:rsidRDefault="00AA4C44" w:rsidP="00533566">
      <w:pPr>
        <w:ind w:leftChars="100" w:left="210"/>
        <w:rPr>
          <w:rFonts w:ascii="Meiryo UI" w:eastAsia="Meiryo UI" w:hAnsi="Meiryo UI" w:cs="Meiryo UI"/>
          <w:szCs w:val="21"/>
        </w:rPr>
      </w:pPr>
      <w:r w:rsidRPr="00333F7D">
        <w:rPr>
          <w:rFonts w:ascii="Meiryo UI" w:eastAsia="Meiryo UI" w:hAnsi="Meiryo UI" w:cs="Meiryo UI" w:hint="eastAsia"/>
          <w:szCs w:val="21"/>
        </w:rPr>
        <w:t>（２）経営手腕、業界における地位、売上高、決裁条件、社暦</w:t>
      </w:r>
    </w:p>
    <w:p w14:paraId="69F4E8FD" w14:textId="77777777" w:rsidR="00AA4C44" w:rsidRPr="00333F7D" w:rsidRDefault="00AA4C44" w:rsidP="00533566">
      <w:pPr>
        <w:ind w:leftChars="100" w:left="210"/>
        <w:rPr>
          <w:rFonts w:ascii="Meiryo UI" w:eastAsia="Meiryo UI" w:hAnsi="Meiryo UI" w:cs="Meiryo UI"/>
          <w:szCs w:val="21"/>
        </w:rPr>
      </w:pPr>
      <w:r w:rsidRPr="00333F7D">
        <w:rPr>
          <w:rFonts w:ascii="Meiryo UI" w:eastAsia="Meiryo UI" w:hAnsi="Meiryo UI" w:cs="Meiryo UI" w:hint="eastAsia"/>
          <w:szCs w:val="21"/>
        </w:rPr>
        <w:t>（３）その他必要と認められる事項</w:t>
      </w:r>
    </w:p>
    <w:p w14:paraId="739B1304"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３．取引先が下記に該当する場合は、与信限度設定することを免除できるものとする。</w:t>
      </w:r>
    </w:p>
    <w:p w14:paraId="1F3569E1" w14:textId="77777777" w:rsidR="00AA4C44" w:rsidRPr="00333F7D" w:rsidRDefault="00533566" w:rsidP="00533566">
      <w:pPr>
        <w:ind w:leftChars="100" w:left="210"/>
        <w:rPr>
          <w:rFonts w:ascii="Meiryo UI" w:eastAsia="Meiryo UI" w:hAnsi="Meiryo UI" w:cs="Meiryo UI"/>
          <w:szCs w:val="21"/>
        </w:rPr>
      </w:pPr>
      <w:r>
        <w:rPr>
          <w:rFonts w:ascii="Meiryo UI" w:eastAsia="Meiryo UI" w:hAnsi="Meiryo UI" w:cs="Meiryo UI" w:hint="eastAsia"/>
          <w:szCs w:val="21"/>
        </w:rPr>
        <w:t>（１）</w:t>
      </w:r>
      <w:r w:rsidR="00AA4C44" w:rsidRPr="00333F7D">
        <w:rPr>
          <w:rFonts w:ascii="Meiryo UI" w:eastAsia="Meiryo UI" w:hAnsi="Meiryo UI" w:cs="Meiryo UI" w:hint="eastAsia"/>
          <w:szCs w:val="21"/>
        </w:rPr>
        <w:t>金融機関（直近決算において営業赤字の場合を除く）、国及び市町村の機関。</w:t>
      </w:r>
    </w:p>
    <w:p w14:paraId="5F2BA617" w14:textId="77777777" w:rsidR="00AA4C44" w:rsidRPr="00333F7D" w:rsidRDefault="00533566" w:rsidP="00533566">
      <w:pPr>
        <w:ind w:leftChars="100" w:left="840" w:hangingChars="300" w:hanging="630"/>
        <w:rPr>
          <w:rFonts w:ascii="Meiryo UI" w:eastAsia="Meiryo UI" w:hAnsi="Meiryo UI" w:cs="Meiryo UI"/>
          <w:szCs w:val="21"/>
        </w:rPr>
      </w:pPr>
      <w:r>
        <w:rPr>
          <w:rFonts w:ascii="Meiryo UI" w:eastAsia="Meiryo UI" w:hAnsi="Meiryo UI" w:cs="Meiryo UI" w:hint="eastAsia"/>
          <w:szCs w:val="21"/>
        </w:rPr>
        <w:t>（２）</w:t>
      </w:r>
      <w:r w:rsidR="00AA4C44" w:rsidRPr="00333F7D">
        <w:rPr>
          <w:rFonts w:ascii="Meiryo UI" w:eastAsia="Meiryo UI" w:hAnsi="Meiryo UI" w:cs="Meiryo UI" w:hint="eastAsia"/>
          <w:szCs w:val="21"/>
        </w:rPr>
        <w:t>主要格付機関から「BBB」又は「Baa」以上の長期格付を得ている先。主要格付機関とは、スタンダード＆プアーズ、</w:t>
      </w:r>
      <w:r w:rsidR="00AA4C44" w:rsidRPr="00333F7D">
        <w:rPr>
          <w:rFonts w:ascii="Meiryo UI" w:eastAsia="Meiryo UI" w:hAnsi="Meiryo UI" w:cs="Meiryo UI" w:hint="eastAsia"/>
          <w:szCs w:val="21"/>
        </w:rPr>
        <w:lastRenderedPageBreak/>
        <w:t>ムーディーズジャパン、日本格付研究所、格付投資情報センターをいう。</w:t>
      </w:r>
    </w:p>
    <w:p w14:paraId="288FB9E4" w14:textId="77777777" w:rsidR="00AA4C44" w:rsidRPr="00333F7D" w:rsidRDefault="00533566" w:rsidP="00533566">
      <w:pPr>
        <w:ind w:leftChars="100" w:left="840" w:hangingChars="300" w:hanging="630"/>
        <w:rPr>
          <w:rFonts w:ascii="Meiryo UI" w:eastAsia="Meiryo UI" w:hAnsi="Meiryo UI" w:cs="Meiryo UI"/>
          <w:szCs w:val="21"/>
        </w:rPr>
      </w:pPr>
      <w:r>
        <w:rPr>
          <w:rFonts w:ascii="Meiryo UI" w:eastAsia="Meiryo UI" w:hAnsi="Meiryo UI" w:cs="Meiryo UI" w:hint="eastAsia"/>
          <w:szCs w:val="21"/>
        </w:rPr>
        <w:t>（３）</w:t>
      </w:r>
      <w:r w:rsidR="00AA4C44" w:rsidRPr="00333F7D">
        <w:rPr>
          <w:rFonts w:ascii="Meiryo UI" w:eastAsia="Meiryo UI" w:hAnsi="Meiryo UI" w:cs="Meiryo UI" w:hint="eastAsia"/>
          <w:szCs w:val="21"/>
        </w:rPr>
        <w:t>上場企業をはじめとした公開情報を容易に入手でき、当社の取引額から勘案して明らかに信用できると判断できる先。</w:t>
      </w:r>
    </w:p>
    <w:p w14:paraId="2CDB2B22" w14:textId="77777777" w:rsidR="00AA4C44" w:rsidRPr="00333F7D" w:rsidRDefault="00AA4C44" w:rsidP="00AA4C44">
      <w:pPr>
        <w:rPr>
          <w:rFonts w:ascii="Meiryo UI" w:eastAsia="Meiryo UI" w:hAnsi="Meiryo UI" w:cs="Meiryo UI"/>
          <w:szCs w:val="21"/>
        </w:rPr>
      </w:pPr>
    </w:p>
    <w:p w14:paraId="6F127FE1"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～作成のポイント～</w:t>
      </w:r>
    </w:p>
    <w:p w14:paraId="33C0D459" w14:textId="77777777" w:rsidR="00AA4C44" w:rsidRPr="00333F7D" w:rsidRDefault="00220351" w:rsidP="00AA4C44">
      <w:pPr>
        <w:rPr>
          <w:rFonts w:ascii="Meiryo UI" w:eastAsia="Meiryo UI" w:hAnsi="Meiryo UI" w:cs="Meiryo UI"/>
          <w:szCs w:val="21"/>
          <w:shd w:val="pct15" w:color="auto" w:fill="FFFFFF"/>
        </w:rPr>
      </w:pPr>
      <w:r>
        <w:rPr>
          <w:rFonts w:ascii="Meiryo UI" w:eastAsia="Meiryo UI" w:hAnsi="Meiryo UI" w:cs="Meiryo UI" w:hint="eastAsia"/>
          <w:szCs w:val="21"/>
          <w:shd w:val="pct15" w:color="auto" w:fill="FFFFFF"/>
        </w:rPr>
        <w:t>明らかに安全と思われる会社に対して、</w:t>
      </w:r>
      <w:r w:rsidR="00AA4C44" w:rsidRPr="00333F7D">
        <w:rPr>
          <w:rFonts w:ascii="Meiryo UI" w:eastAsia="Meiryo UI" w:hAnsi="Meiryo UI" w:cs="Meiryo UI" w:hint="eastAsia"/>
          <w:szCs w:val="21"/>
          <w:shd w:val="pct15" w:color="auto" w:fill="FFFFFF"/>
        </w:rPr>
        <w:t>業務を簡略化する一定のバーを設ける事が考えられます。</w:t>
      </w:r>
    </w:p>
    <w:p w14:paraId="079F2CAF" w14:textId="77777777" w:rsidR="00AA4C44" w:rsidRPr="00333F7D" w:rsidRDefault="00AA4C44" w:rsidP="00AA4C44">
      <w:pPr>
        <w:rPr>
          <w:rFonts w:ascii="Meiryo UI" w:eastAsia="Meiryo UI" w:hAnsi="Meiryo UI" w:cs="Meiryo UI"/>
          <w:szCs w:val="21"/>
        </w:rPr>
      </w:pPr>
    </w:p>
    <w:p w14:paraId="0081DA98"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8</w:t>
      </w:r>
      <w:r>
        <w:rPr>
          <w:rFonts w:ascii="Meiryo UI" w:eastAsia="Meiryo UI" w:hAnsi="Meiryo UI" w:cs="Meiryo UI" w:hint="eastAsia"/>
          <w:szCs w:val="21"/>
        </w:rPr>
        <w:t>条</w:t>
      </w:r>
      <w:r w:rsidR="00AA4C44" w:rsidRPr="00333F7D">
        <w:rPr>
          <w:rFonts w:ascii="Meiryo UI" w:eastAsia="Meiryo UI" w:hAnsi="Meiryo UI" w:cs="Meiryo UI" w:hint="eastAsia"/>
          <w:szCs w:val="21"/>
        </w:rPr>
        <w:t>（信用評価と与信限度設定額）</w:t>
      </w:r>
    </w:p>
    <w:p w14:paraId="10ABA25C"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信用評価及び与信限度額設定に当たっては、別に定める「決裁権限規程」および「与信限度額管理基準」によるものとする。</w:t>
      </w:r>
    </w:p>
    <w:p w14:paraId="23804C30" w14:textId="77777777" w:rsidR="00AA4C44" w:rsidRPr="00333F7D" w:rsidRDefault="00AA4C44" w:rsidP="00AA4C44">
      <w:pPr>
        <w:rPr>
          <w:rFonts w:ascii="Meiryo UI" w:eastAsia="Meiryo UI" w:hAnsi="Meiryo UI" w:cs="Meiryo UI"/>
          <w:szCs w:val="21"/>
        </w:rPr>
      </w:pPr>
    </w:p>
    <w:p w14:paraId="0BF7853A"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～作成のポイント～</w:t>
      </w:r>
    </w:p>
    <w:p w14:paraId="31BEAB3F"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細かい評価基準、与信限度額基準について、与信管理基準内</w:t>
      </w:r>
      <w:r w:rsidR="004F4317">
        <w:rPr>
          <w:rFonts w:ascii="Meiryo UI" w:eastAsia="Meiryo UI" w:hAnsi="Meiryo UI" w:cs="Meiryo UI" w:hint="eastAsia"/>
          <w:szCs w:val="21"/>
          <w:shd w:val="pct15" w:color="auto" w:fill="FFFFFF"/>
        </w:rPr>
        <w:t>で管理すると柔軟性にかけ、煩雑になるので、別の規程を参照する形も考えられます</w:t>
      </w:r>
      <w:r w:rsidRPr="00333F7D">
        <w:rPr>
          <w:rFonts w:ascii="Meiryo UI" w:eastAsia="Meiryo UI" w:hAnsi="Meiryo UI" w:cs="Meiryo UI" w:hint="eastAsia"/>
          <w:szCs w:val="21"/>
          <w:shd w:val="pct15" w:color="auto" w:fill="FFFFFF"/>
        </w:rPr>
        <w:t>。</w:t>
      </w:r>
    </w:p>
    <w:p w14:paraId="7ABC4F4F"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この場合、与信の枠の判断基準に関しては与信限度額管理基準のような規程よりランクが落ちる別基準、判断がなされた後の決裁に関しては決裁権限規程やその別紙となる一覧を参照する形が考えられます。</w:t>
      </w:r>
    </w:p>
    <w:p w14:paraId="253B93D5" w14:textId="77777777" w:rsidR="00AA4C44" w:rsidRPr="00333F7D" w:rsidRDefault="00AA4C44" w:rsidP="00AA4C44">
      <w:pPr>
        <w:rPr>
          <w:rFonts w:ascii="Meiryo UI" w:eastAsia="Meiryo UI" w:hAnsi="Meiryo UI" w:cs="Meiryo UI"/>
          <w:szCs w:val="21"/>
        </w:rPr>
      </w:pPr>
    </w:p>
    <w:p w14:paraId="79A3137D"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9</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（与信限度の審査）</w:t>
      </w:r>
    </w:p>
    <w:p w14:paraId="002F9CB3"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各部門より新規の取引先候補情報を、与信管理管掌部門に提出・申請し、これをもって与信管理管掌部門が必要の事務を行うこととする。</w:t>
      </w:r>
    </w:p>
    <w:p w14:paraId="3D9B1CED" w14:textId="77777777" w:rsidR="00AA4C44" w:rsidRPr="00333F7D" w:rsidRDefault="00AA4C44" w:rsidP="00AA4C44">
      <w:pPr>
        <w:rPr>
          <w:rFonts w:ascii="Meiryo UI" w:eastAsia="Meiryo UI" w:hAnsi="Meiryo UI" w:cs="Meiryo UI"/>
          <w:szCs w:val="21"/>
        </w:rPr>
      </w:pPr>
    </w:p>
    <w:p w14:paraId="02B175C9"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10</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（与信限度の登録）</w:t>
      </w:r>
    </w:p>
    <w:p w14:paraId="6D005F08"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与信限度の登録は、所定の決裁手続を経て、与信管理管掌部門が行うものとする。</w:t>
      </w:r>
    </w:p>
    <w:p w14:paraId="424AACE5" w14:textId="77777777" w:rsidR="00AA4C44" w:rsidRPr="00333F7D" w:rsidRDefault="00AA4C44" w:rsidP="00AA4C44">
      <w:pPr>
        <w:rPr>
          <w:rFonts w:ascii="Meiryo UI" w:eastAsia="Meiryo UI" w:hAnsi="Meiryo UI" w:cs="Meiryo UI"/>
          <w:szCs w:val="21"/>
        </w:rPr>
      </w:pPr>
    </w:p>
    <w:p w14:paraId="45D7A8D4" w14:textId="77777777" w:rsidR="00AA4C44" w:rsidRPr="00333F7D" w:rsidRDefault="00AA4C44" w:rsidP="00333F7D">
      <w:pPr>
        <w:jc w:val="center"/>
        <w:rPr>
          <w:rFonts w:ascii="Meiryo UI" w:eastAsia="Meiryo UI" w:hAnsi="Meiryo UI" w:cs="Meiryo UI"/>
          <w:szCs w:val="21"/>
        </w:rPr>
      </w:pPr>
      <w:r w:rsidRPr="00333F7D">
        <w:rPr>
          <w:rFonts w:ascii="Meiryo UI" w:eastAsia="Meiryo UI" w:hAnsi="Meiryo UI" w:cs="Meiryo UI" w:hint="eastAsia"/>
          <w:szCs w:val="21"/>
        </w:rPr>
        <w:t>第３章　与信管理</w:t>
      </w:r>
    </w:p>
    <w:p w14:paraId="7D74AC79" w14:textId="77777777" w:rsidR="00AA4C44" w:rsidRPr="00333F7D" w:rsidRDefault="00333F7D"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11</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（与信限度の総括管理）</w:t>
      </w:r>
    </w:p>
    <w:p w14:paraId="00098789" w14:textId="77777777" w:rsidR="00AA4C44" w:rsidRPr="00333F7D" w:rsidRDefault="00AA4C44" w:rsidP="00333F7D">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与信限度の管理は、与信管理管掌部門が統括する。</w:t>
      </w:r>
    </w:p>
    <w:p w14:paraId="08A143B4"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２．与信管理管掌部門は、与信限度の設定に関する資料を保管する。</w:t>
      </w:r>
    </w:p>
    <w:p w14:paraId="2DAEF4F5"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３．日常的な与信限度の管理は、各部門が行うものとする。</w:t>
      </w:r>
    </w:p>
    <w:p w14:paraId="2BF834B7" w14:textId="77777777" w:rsidR="00AA4C44" w:rsidRPr="00333F7D" w:rsidRDefault="00AA4C44" w:rsidP="00AA4C44">
      <w:pPr>
        <w:rPr>
          <w:rFonts w:ascii="Meiryo UI" w:eastAsia="Meiryo UI" w:hAnsi="Meiryo UI" w:cs="Meiryo UI"/>
          <w:szCs w:val="21"/>
        </w:rPr>
      </w:pPr>
    </w:p>
    <w:p w14:paraId="6C0B0C59"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～作成のポイント～</w:t>
      </w:r>
    </w:p>
    <w:p w14:paraId="7EE59130"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与信管理管掌部門が全ての取引先の状況を適切に把握すること</w:t>
      </w:r>
      <w:r w:rsidR="00ED1CD0">
        <w:rPr>
          <w:rFonts w:ascii="Meiryo UI" w:eastAsia="Meiryo UI" w:hAnsi="Meiryo UI" w:cs="Meiryo UI" w:hint="eastAsia"/>
          <w:szCs w:val="21"/>
          <w:shd w:val="pct15" w:color="auto" w:fill="FFFFFF"/>
        </w:rPr>
        <w:t>が</w:t>
      </w:r>
      <w:r w:rsidRPr="00333F7D">
        <w:rPr>
          <w:rFonts w:ascii="Meiryo UI" w:eastAsia="Meiryo UI" w:hAnsi="Meiryo UI" w:cs="Meiryo UI" w:hint="eastAsia"/>
          <w:szCs w:val="21"/>
          <w:shd w:val="pct15" w:color="auto" w:fill="FFFFFF"/>
        </w:rPr>
        <w:t>困難</w:t>
      </w:r>
      <w:r w:rsidR="00ED1CD0">
        <w:rPr>
          <w:rFonts w:ascii="Meiryo UI" w:eastAsia="Meiryo UI" w:hAnsi="Meiryo UI" w:cs="Meiryo UI" w:hint="eastAsia"/>
          <w:szCs w:val="21"/>
          <w:shd w:val="pct15" w:color="auto" w:fill="FFFFFF"/>
        </w:rPr>
        <w:t>な場合、</w:t>
      </w:r>
      <w:r w:rsidRPr="00333F7D">
        <w:rPr>
          <w:rFonts w:ascii="Meiryo UI" w:eastAsia="Meiryo UI" w:hAnsi="Meiryo UI" w:cs="Meiryo UI" w:hint="eastAsia"/>
          <w:szCs w:val="21"/>
          <w:shd w:val="pct15" w:color="auto" w:fill="FFFFFF"/>
        </w:rPr>
        <w:t>取引額が変わる（特に増加する）場合の管理責任は各部門にする</w:t>
      </w:r>
      <w:r w:rsidR="00ED1CD0">
        <w:rPr>
          <w:rFonts w:ascii="Meiryo UI" w:eastAsia="Meiryo UI" w:hAnsi="Meiryo UI" w:cs="Meiryo UI" w:hint="eastAsia"/>
          <w:szCs w:val="21"/>
          <w:shd w:val="pct15" w:color="auto" w:fill="FFFFFF"/>
        </w:rPr>
        <w:t>こと</w:t>
      </w:r>
      <w:r w:rsidRPr="00333F7D">
        <w:rPr>
          <w:rFonts w:ascii="Meiryo UI" w:eastAsia="Meiryo UI" w:hAnsi="Meiryo UI" w:cs="Meiryo UI" w:hint="eastAsia"/>
          <w:szCs w:val="21"/>
          <w:shd w:val="pct15" w:color="auto" w:fill="FFFFFF"/>
        </w:rPr>
        <w:t>が</w:t>
      </w:r>
      <w:r w:rsidR="00ED1CD0">
        <w:rPr>
          <w:rFonts w:ascii="Meiryo UI" w:eastAsia="Meiryo UI" w:hAnsi="Meiryo UI" w:cs="Meiryo UI" w:hint="eastAsia"/>
          <w:szCs w:val="21"/>
          <w:shd w:val="pct15" w:color="auto" w:fill="FFFFFF"/>
        </w:rPr>
        <w:t>考えられます</w:t>
      </w:r>
      <w:r w:rsidRPr="00333F7D">
        <w:rPr>
          <w:rFonts w:ascii="Meiryo UI" w:eastAsia="Meiryo UI" w:hAnsi="Meiryo UI" w:cs="Meiryo UI" w:hint="eastAsia"/>
          <w:szCs w:val="21"/>
          <w:shd w:val="pct15" w:color="auto" w:fill="FFFFFF"/>
        </w:rPr>
        <w:t>。</w:t>
      </w:r>
    </w:p>
    <w:p w14:paraId="47FFDD24"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取引額が変化する場合の業務フローを別に定めるのが望ましいで</w:t>
      </w:r>
      <w:r w:rsidR="00ED1CD0">
        <w:rPr>
          <w:rFonts w:ascii="Meiryo UI" w:eastAsia="Meiryo UI" w:hAnsi="Meiryo UI" w:cs="Meiryo UI" w:hint="eastAsia"/>
          <w:szCs w:val="21"/>
          <w:shd w:val="pct15" w:color="auto" w:fill="FFFFFF"/>
        </w:rPr>
        <w:t>す</w:t>
      </w:r>
      <w:r w:rsidRPr="00333F7D">
        <w:rPr>
          <w:rFonts w:ascii="Meiryo UI" w:eastAsia="Meiryo UI" w:hAnsi="Meiryo UI" w:cs="Meiryo UI" w:hint="eastAsia"/>
          <w:szCs w:val="21"/>
          <w:shd w:val="pct15" w:color="auto" w:fill="FFFFFF"/>
        </w:rPr>
        <w:t>。</w:t>
      </w:r>
    </w:p>
    <w:p w14:paraId="3DD38DE9" w14:textId="77777777" w:rsidR="00AA4C44" w:rsidRPr="00333F7D" w:rsidRDefault="00AA4C44" w:rsidP="00AA4C44">
      <w:pPr>
        <w:rPr>
          <w:rFonts w:ascii="Meiryo UI" w:eastAsia="Meiryo UI" w:hAnsi="Meiryo UI" w:cs="Meiryo UI"/>
          <w:szCs w:val="21"/>
        </w:rPr>
      </w:pPr>
    </w:p>
    <w:p w14:paraId="77F809B2"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12</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（与信限度額の管理）</w:t>
      </w:r>
    </w:p>
    <w:p w14:paraId="0198DAA5"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各部門は、常に与信限度額の遵守に努めなければならない。</w:t>
      </w:r>
    </w:p>
    <w:p w14:paraId="60088B7C"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２．別に定める「与信限度額管理基準」に従い、与信限度額の管理を行わなければならない。</w:t>
      </w:r>
    </w:p>
    <w:p w14:paraId="42DBFFF2" w14:textId="77777777" w:rsidR="00AA4C44" w:rsidRPr="00333F7D" w:rsidRDefault="00AA4C44" w:rsidP="005E3A88">
      <w:pPr>
        <w:ind w:left="210" w:hangingChars="100" w:hanging="210"/>
        <w:rPr>
          <w:rFonts w:ascii="Meiryo UI" w:eastAsia="Meiryo UI" w:hAnsi="Meiryo UI" w:cs="Meiryo UI"/>
          <w:szCs w:val="21"/>
        </w:rPr>
      </w:pPr>
      <w:r w:rsidRPr="00333F7D">
        <w:rPr>
          <w:rFonts w:ascii="Meiryo UI" w:eastAsia="Meiryo UI" w:hAnsi="Meiryo UI" w:cs="Meiryo UI" w:hint="eastAsia"/>
          <w:szCs w:val="21"/>
        </w:rPr>
        <w:t>３．与信限度設定先については、受注残高も考慮に入れて純債権額が与信限度額を超えないように管理し、特に注意を要すると判断した取引先については、受注停止等の措置をとるものをする。</w:t>
      </w:r>
    </w:p>
    <w:p w14:paraId="0CF6BB70" w14:textId="77777777" w:rsidR="00AA4C44" w:rsidRPr="00333F7D" w:rsidRDefault="00AA4C44" w:rsidP="00AA4C44">
      <w:pPr>
        <w:rPr>
          <w:rFonts w:ascii="Meiryo UI" w:eastAsia="Meiryo UI" w:hAnsi="Meiryo UI" w:cs="Meiryo UI"/>
          <w:szCs w:val="21"/>
        </w:rPr>
      </w:pPr>
    </w:p>
    <w:p w14:paraId="708166F7"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lastRenderedPageBreak/>
        <w:t>第</w:t>
      </w:r>
      <w:r w:rsidR="009714C0">
        <w:rPr>
          <w:rFonts w:ascii="Meiryo UI" w:eastAsia="Meiryo UI" w:hAnsi="Meiryo UI" w:cs="Meiryo UI" w:hint="eastAsia"/>
          <w:szCs w:val="21"/>
        </w:rPr>
        <w:t>13</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（与信限度額超過への対応）</w:t>
      </w:r>
    </w:p>
    <w:p w14:paraId="2F58032C"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取引高または支払条件により、与信限度額超過の可能性が予想される場合は、各部門は速やかに内容を調査し、与信限度額の超過が一時的であると見込まれる場合は、与信管理管掌部門にその旨を所定の方法により申請する。</w:t>
      </w:r>
    </w:p>
    <w:p w14:paraId="5E7E891F" w14:textId="77777777" w:rsidR="00AA4C44" w:rsidRPr="00333F7D" w:rsidRDefault="00AA4C44" w:rsidP="00ED1CD0">
      <w:pPr>
        <w:ind w:left="210" w:hangingChars="100" w:hanging="210"/>
        <w:rPr>
          <w:rFonts w:ascii="Meiryo UI" w:eastAsia="Meiryo UI" w:hAnsi="Meiryo UI" w:cs="Meiryo UI"/>
          <w:szCs w:val="21"/>
        </w:rPr>
      </w:pPr>
      <w:r w:rsidRPr="00333F7D">
        <w:rPr>
          <w:rFonts w:ascii="Meiryo UI" w:eastAsia="Meiryo UI" w:hAnsi="Meiryo UI" w:cs="Meiryo UI" w:hint="eastAsia"/>
          <w:szCs w:val="21"/>
        </w:rPr>
        <w:t>２．与信限度額の超過が一時的でないと見込まれる場合は、各部門は与信管理管掌部門にその旨を所定の方法により申請する。</w:t>
      </w:r>
    </w:p>
    <w:p w14:paraId="375F57CF" w14:textId="77777777" w:rsidR="00AA4C44" w:rsidRPr="00333F7D" w:rsidRDefault="00AA4C44" w:rsidP="00ED1CD0">
      <w:pPr>
        <w:ind w:left="210" w:hangingChars="100" w:hanging="210"/>
        <w:rPr>
          <w:rFonts w:ascii="Meiryo UI" w:eastAsia="Meiryo UI" w:hAnsi="Meiryo UI" w:cs="Meiryo UI"/>
          <w:szCs w:val="21"/>
        </w:rPr>
      </w:pPr>
      <w:r w:rsidRPr="00333F7D">
        <w:rPr>
          <w:rFonts w:ascii="Meiryo UI" w:eastAsia="Meiryo UI" w:hAnsi="Meiryo UI" w:cs="Meiryo UI" w:hint="eastAsia"/>
          <w:szCs w:val="21"/>
        </w:rPr>
        <w:t>３．前項の報告を受けた与信管理部門は、内容を精査し、特に注意を要すると判断した取引先については、受注停止等の措置をとるものをする。</w:t>
      </w:r>
    </w:p>
    <w:p w14:paraId="5FB8691A" w14:textId="77777777" w:rsidR="00AA4C44" w:rsidRPr="00333F7D" w:rsidRDefault="00AA4C44" w:rsidP="00AA4C44">
      <w:pPr>
        <w:rPr>
          <w:rFonts w:ascii="Meiryo UI" w:eastAsia="Meiryo UI" w:hAnsi="Meiryo UI" w:cs="Meiryo UI"/>
          <w:szCs w:val="21"/>
        </w:rPr>
      </w:pPr>
    </w:p>
    <w:p w14:paraId="40A50088"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14</w:t>
      </w:r>
      <w:r>
        <w:rPr>
          <w:rFonts w:ascii="Meiryo UI" w:eastAsia="Meiryo UI" w:hAnsi="Meiryo UI" w:cs="Meiryo UI" w:hint="eastAsia"/>
          <w:szCs w:val="21"/>
        </w:rPr>
        <w:t>条</w:t>
      </w:r>
      <w:r w:rsidR="00AA4C44" w:rsidRPr="00333F7D">
        <w:rPr>
          <w:rFonts w:ascii="Meiryo UI" w:eastAsia="Meiryo UI" w:hAnsi="Meiryo UI" w:cs="Meiryo UI" w:hint="eastAsia"/>
          <w:szCs w:val="21"/>
        </w:rPr>
        <w:t>（取引先の業況の把握）</w:t>
      </w:r>
    </w:p>
    <w:p w14:paraId="15124570"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営業担当者は、日常の営業活動において常に取引先の業況を把握分析し、取引先の与信限度額に影響を与える業況の変化を把握した場合は、速やかに与信限度額変更の申請を行うものとする。</w:t>
      </w:r>
    </w:p>
    <w:p w14:paraId="78FE9FF8"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２．取引先に対する業況の把握は、必要に応じ信用調査（外部調査機関等）を行うものとする。</w:t>
      </w:r>
    </w:p>
    <w:p w14:paraId="5B4BD578" w14:textId="77777777" w:rsidR="00AA4C44" w:rsidRPr="00333F7D" w:rsidRDefault="00AA4C44" w:rsidP="00AA4C44">
      <w:pPr>
        <w:rPr>
          <w:rFonts w:ascii="Meiryo UI" w:eastAsia="Meiryo UI" w:hAnsi="Meiryo UI" w:cs="Meiryo UI"/>
          <w:szCs w:val="21"/>
        </w:rPr>
      </w:pPr>
    </w:p>
    <w:p w14:paraId="0749377C"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15</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（与信限度額の見直し）</w:t>
      </w:r>
    </w:p>
    <w:p w14:paraId="1EE25030"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新規に与信限度額を設定した取引先については、取引開始の３ヶ月後に与信限度額の見直しを行うことが出来るものとする。</w:t>
      </w:r>
    </w:p>
    <w:p w14:paraId="6B2B077E"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２．与信期間は１年間とし、設定された与信限度は、毎年定例的に見直しを行うものとする。</w:t>
      </w:r>
    </w:p>
    <w:p w14:paraId="6CCB669B" w14:textId="77777777" w:rsidR="00AA4C44" w:rsidRPr="00333F7D" w:rsidRDefault="00AA4C44" w:rsidP="00894C71">
      <w:pPr>
        <w:ind w:left="210" w:hangingChars="100" w:hanging="210"/>
        <w:rPr>
          <w:rFonts w:ascii="Meiryo UI" w:eastAsia="Meiryo UI" w:hAnsi="Meiryo UI" w:cs="Meiryo UI"/>
          <w:szCs w:val="21"/>
        </w:rPr>
      </w:pPr>
      <w:r w:rsidRPr="00333F7D">
        <w:rPr>
          <w:rFonts w:ascii="Meiryo UI" w:eastAsia="Meiryo UI" w:hAnsi="Meiryo UI" w:cs="Meiryo UI" w:hint="eastAsia"/>
          <w:szCs w:val="21"/>
        </w:rPr>
        <w:t>３．見直しに当たっては、取引先ごとに取引実績及び今後の取引見込みに加え、第７条第２項に規程する事項を網羅し、必要がある場合は与信限度額の変更を行う。</w:t>
      </w:r>
    </w:p>
    <w:p w14:paraId="522C2FA2" w14:textId="77777777" w:rsidR="00AA4C44" w:rsidRPr="00333F7D" w:rsidRDefault="00AA4C44" w:rsidP="00AA4C44">
      <w:pPr>
        <w:rPr>
          <w:rFonts w:ascii="Meiryo UI" w:eastAsia="Meiryo UI" w:hAnsi="Meiryo UI" w:cs="Meiryo UI"/>
          <w:szCs w:val="21"/>
        </w:rPr>
      </w:pPr>
    </w:p>
    <w:p w14:paraId="042C4647"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16</w:t>
      </w:r>
      <w:r>
        <w:rPr>
          <w:rFonts w:ascii="Meiryo UI" w:eastAsia="Meiryo UI" w:hAnsi="Meiryo UI" w:cs="Meiryo UI" w:hint="eastAsia"/>
          <w:szCs w:val="21"/>
        </w:rPr>
        <w:t>条</w:t>
      </w:r>
      <w:r w:rsidR="00AA4C44" w:rsidRPr="00333F7D">
        <w:rPr>
          <w:rFonts w:ascii="Meiryo UI" w:eastAsia="Meiryo UI" w:hAnsi="Meiryo UI" w:cs="Meiryo UI" w:hint="eastAsia"/>
          <w:szCs w:val="21"/>
        </w:rPr>
        <w:t>（与信限度の失劫）</w:t>
      </w:r>
    </w:p>
    <w:p w14:paraId="3190BEE7"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取引先が次に該当するときは、与信限度は失効する。</w:t>
      </w:r>
    </w:p>
    <w:p w14:paraId="18F864BC" w14:textId="77777777" w:rsidR="00AA4C44" w:rsidRPr="00333F7D" w:rsidRDefault="005A5D92" w:rsidP="005A5D92">
      <w:pPr>
        <w:ind w:leftChars="100" w:left="210"/>
        <w:rPr>
          <w:rFonts w:ascii="Meiryo UI" w:eastAsia="Meiryo UI" w:hAnsi="Meiryo UI" w:cs="Meiryo UI"/>
          <w:szCs w:val="21"/>
        </w:rPr>
      </w:pPr>
      <w:r>
        <w:rPr>
          <w:rFonts w:ascii="Meiryo UI" w:eastAsia="Meiryo UI" w:hAnsi="Meiryo UI" w:cs="Meiryo UI" w:hint="eastAsia"/>
          <w:szCs w:val="21"/>
        </w:rPr>
        <w:t>（１）</w:t>
      </w:r>
      <w:r w:rsidR="00AA4C44" w:rsidRPr="00333F7D">
        <w:rPr>
          <w:rFonts w:ascii="Meiryo UI" w:eastAsia="Meiryo UI" w:hAnsi="Meiryo UI" w:cs="Meiryo UI" w:hint="eastAsia"/>
          <w:szCs w:val="21"/>
        </w:rPr>
        <w:t>取引先との取引を中止し、取引再開時に当初与信を設定したときから１年が経過していたとき</w:t>
      </w:r>
    </w:p>
    <w:p w14:paraId="0C3D3859" w14:textId="77777777" w:rsidR="00AA4C44" w:rsidRPr="00333F7D" w:rsidRDefault="005A5D92" w:rsidP="005A5D92">
      <w:pPr>
        <w:ind w:leftChars="100" w:left="210"/>
        <w:rPr>
          <w:rFonts w:ascii="Meiryo UI" w:eastAsia="Meiryo UI" w:hAnsi="Meiryo UI" w:cs="Meiryo UI"/>
          <w:szCs w:val="21"/>
        </w:rPr>
      </w:pPr>
      <w:r>
        <w:rPr>
          <w:rFonts w:ascii="Meiryo UI" w:eastAsia="Meiryo UI" w:hAnsi="Meiryo UI" w:cs="Meiryo UI" w:hint="eastAsia"/>
          <w:szCs w:val="21"/>
        </w:rPr>
        <w:t>（２）</w:t>
      </w:r>
      <w:r w:rsidR="00AA4C44" w:rsidRPr="00333F7D">
        <w:rPr>
          <w:rFonts w:ascii="Meiryo UI" w:eastAsia="Meiryo UI" w:hAnsi="Meiryo UI" w:cs="Meiryo UI" w:hint="eastAsia"/>
          <w:szCs w:val="21"/>
        </w:rPr>
        <w:t>与信期間が満了したとき</w:t>
      </w:r>
    </w:p>
    <w:p w14:paraId="23A75CB7" w14:textId="77777777" w:rsidR="00AA4C44" w:rsidRPr="00333F7D" w:rsidRDefault="00AA4C44" w:rsidP="00AA4C44">
      <w:pPr>
        <w:rPr>
          <w:rFonts w:ascii="Meiryo UI" w:eastAsia="Meiryo UI" w:hAnsi="Meiryo UI" w:cs="Meiryo UI"/>
          <w:szCs w:val="21"/>
        </w:rPr>
      </w:pPr>
    </w:p>
    <w:p w14:paraId="669C9CAA"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～作成のポイント～</w:t>
      </w:r>
    </w:p>
    <w:p w14:paraId="21330AD7" w14:textId="77777777" w:rsidR="00AA4C44" w:rsidRPr="00333F7D" w:rsidRDefault="000E4FE3" w:rsidP="00AA4C44">
      <w:pPr>
        <w:rPr>
          <w:rFonts w:ascii="Meiryo UI" w:eastAsia="Meiryo UI" w:hAnsi="Meiryo UI" w:cs="Meiryo UI"/>
          <w:szCs w:val="21"/>
          <w:shd w:val="pct15" w:color="auto" w:fill="FFFFFF"/>
        </w:rPr>
      </w:pPr>
      <w:r>
        <w:rPr>
          <w:rFonts w:ascii="Meiryo UI" w:eastAsia="Meiryo UI" w:hAnsi="Meiryo UI" w:cs="Meiryo UI" w:hint="eastAsia"/>
          <w:szCs w:val="21"/>
          <w:shd w:val="pct15" w:color="auto" w:fill="FFFFFF"/>
        </w:rPr>
        <w:t>取引が断続的な取引先について、毎回与信設定を行うの</w:t>
      </w:r>
      <w:r w:rsidR="00AA4C44" w:rsidRPr="00333F7D">
        <w:rPr>
          <w:rFonts w:ascii="Meiryo UI" w:eastAsia="Meiryo UI" w:hAnsi="Meiryo UI" w:cs="Meiryo UI" w:hint="eastAsia"/>
          <w:szCs w:val="21"/>
          <w:shd w:val="pct15" w:color="auto" w:fill="FFFFFF"/>
        </w:rPr>
        <w:t>は非効率</w:t>
      </w:r>
      <w:r>
        <w:rPr>
          <w:rFonts w:ascii="Meiryo UI" w:eastAsia="Meiryo UI" w:hAnsi="Meiryo UI" w:cs="Meiryo UI" w:hint="eastAsia"/>
          <w:szCs w:val="21"/>
          <w:shd w:val="pct15" w:color="auto" w:fill="FFFFFF"/>
        </w:rPr>
        <w:t>な</w:t>
      </w:r>
      <w:r w:rsidR="00AA4C44" w:rsidRPr="00333F7D">
        <w:rPr>
          <w:rFonts w:ascii="Meiryo UI" w:eastAsia="Meiryo UI" w:hAnsi="Meiryo UI" w:cs="Meiryo UI" w:hint="eastAsia"/>
          <w:szCs w:val="21"/>
          <w:shd w:val="pct15" w:color="auto" w:fill="FFFFFF"/>
        </w:rPr>
        <w:t>ので、そ</w:t>
      </w:r>
      <w:r>
        <w:rPr>
          <w:rFonts w:ascii="Meiryo UI" w:eastAsia="Meiryo UI" w:hAnsi="Meiryo UI" w:cs="Meiryo UI" w:hint="eastAsia"/>
          <w:szCs w:val="21"/>
          <w:shd w:val="pct15" w:color="auto" w:fill="FFFFFF"/>
        </w:rPr>
        <w:t>れ</w:t>
      </w:r>
      <w:r w:rsidR="00AA4C44" w:rsidRPr="00333F7D">
        <w:rPr>
          <w:rFonts w:ascii="Meiryo UI" w:eastAsia="Meiryo UI" w:hAnsi="Meiryo UI" w:cs="Meiryo UI" w:hint="eastAsia"/>
          <w:szCs w:val="21"/>
          <w:shd w:val="pct15" w:color="auto" w:fill="FFFFFF"/>
        </w:rPr>
        <w:t>をカバーする記載が</w:t>
      </w:r>
      <w:r>
        <w:rPr>
          <w:rFonts w:ascii="Meiryo UI" w:eastAsia="Meiryo UI" w:hAnsi="Meiryo UI" w:cs="Meiryo UI" w:hint="eastAsia"/>
          <w:szCs w:val="21"/>
          <w:shd w:val="pct15" w:color="auto" w:fill="FFFFFF"/>
        </w:rPr>
        <w:t>考えられます</w:t>
      </w:r>
      <w:r w:rsidR="00AA4C44" w:rsidRPr="00333F7D">
        <w:rPr>
          <w:rFonts w:ascii="Meiryo UI" w:eastAsia="Meiryo UI" w:hAnsi="Meiryo UI" w:cs="Meiryo UI" w:hint="eastAsia"/>
          <w:szCs w:val="21"/>
          <w:shd w:val="pct15" w:color="auto" w:fill="FFFFFF"/>
        </w:rPr>
        <w:t>。ただし、与信期間については何かしら設定し（１年等）、継続取引含め、見直しを行うようにするのが望ましいです。</w:t>
      </w:r>
    </w:p>
    <w:p w14:paraId="3E338EDB" w14:textId="77777777" w:rsidR="00AA4C44" w:rsidRPr="00333F7D" w:rsidRDefault="00AA4C44" w:rsidP="00AA4C44">
      <w:pPr>
        <w:rPr>
          <w:rFonts w:ascii="Meiryo UI" w:eastAsia="Meiryo UI" w:hAnsi="Meiryo UI" w:cs="Meiryo UI"/>
          <w:szCs w:val="21"/>
          <w:shd w:val="pct15" w:color="auto" w:fill="FFFFFF"/>
        </w:rPr>
      </w:pPr>
      <w:r w:rsidRPr="00333F7D">
        <w:rPr>
          <w:rFonts w:ascii="Meiryo UI" w:eastAsia="Meiryo UI" w:hAnsi="Meiryo UI" w:cs="Meiryo UI" w:hint="eastAsia"/>
          <w:szCs w:val="21"/>
          <w:shd w:val="pct15" w:color="auto" w:fill="FFFFFF"/>
        </w:rPr>
        <w:t>なお、取引先が多い場合、与信確認を網羅的に行うのは煩雑ですので、安定して支払が行われており、また取引額が小さい企業に対しては、与信確認を簡素化する基準を設定する事が考えられます（別に「与信管理マニュアル」や基準を設定するのが一般的）。</w:t>
      </w:r>
    </w:p>
    <w:p w14:paraId="5AFC3C9A" w14:textId="77777777" w:rsidR="00AA4C44" w:rsidRPr="00333F7D" w:rsidRDefault="00AA4C44" w:rsidP="00AA4C44">
      <w:pPr>
        <w:rPr>
          <w:rFonts w:ascii="Meiryo UI" w:eastAsia="Meiryo UI" w:hAnsi="Meiryo UI" w:cs="Meiryo UI"/>
          <w:szCs w:val="21"/>
        </w:rPr>
      </w:pPr>
    </w:p>
    <w:p w14:paraId="19ADC002"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17</w:t>
      </w:r>
      <w:r>
        <w:rPr>
          <w:rFonts w:ascii="Meiryo UI" w:eastAsia="Meiryo UI" w:hAnsi="Meiryo UI" w:cs="Meiryo UI" w:hint="eastAsia"/>
          <w:szCs w:val="21"/>
        </w:rPr>
        <w:t>条</w:t>
      </w:r>
      <w:r w:rsidR="00AA4C44" w:rsidRPr="00333F7D">
        <w:rPr>
          <w:rFonts w:ascii="Meiryo UI" w:eastAsia="Meiryo UI" w:hAnsi="Meiryo UI" w:cs="Meiryo UI" w:hint="eastAsia"/>
          <w:szCs w:val="21"/>
        </w:rPr>
        <w:t>（担保の取得）</w:t>
      </w:r>
    </w:p>
    <w:p w14:paraId="39ABBAF5"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取引先との取引にあたり、各部門責任者は債権保全を必要と判断するときは、原則として、支払条件として前払を設定、または担保の設定や保証金の取得を行うものとする。</w:t>
      </w:r>
    </w:p>
    <w:p w14:paraId="0C30259E" w14:textId="77777777" w:rsidR="00AA4C44" w:rsidRPr="00333F7D" w:rsidRDefault="00AA4C44" w:rsidP="00AA4C44">
      <w:pPr>
        <w:rPr>
          <w:rFonts w:ascii="Meiryo UI" w:eastAsia="Meiryo UI" w:hAnsi="Meiryo UI" w:cs="Meiryo UI"/>
          <w:szCs w:val="21"/>
        </w:rPr>
      </w:pPr>
      <w:r w:rsidRPr="00333F7D">
        <w:rPr>
          <w:rFonts w:ascii="Meiryo UI" w:eastAsia="Meiryo UI" w:hAnsi="Meiryo UI" w:cs="Meiryo UI" w:hint="eastAsia"/>
          <w:szCs w:val="21"/>
        </w:rPr>
        <w:t>２．前項に関する法的手続は、各部門責任者が与信管理管掌役員と協議の上、行うものとする。</w:t>
      </w:r>
    </w:p>
    <w:p w14:paraId="2E1FE55B" w14:textId="77777777" w:rsidR="00AA4C44" w:rsidRPr="00333F7D" w:rsidRDefault="00AA4C44" w:rsidP="00AA4C44">
      <w:pPr>
        <w:rPr>
          <w:rFonts w:ascii="Meiryo UI" w:eastAsia="Meiryo UI" w:hAnsi="Meiryo UI" w:cs="Meiryo UI"/>
          <w:szCs w:val="21"/>
        </w:rPr>
      </w:pPr>
    </w:p>
    <w:p w14:paraId="18AEAE6D"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18</w:t>
      </w:r>
      <w:r>
        <w:rPr>
          <w:rFonts w:ascii="Meiryo UI" w:eastAsia="Meiryo UI" w:hAnsi="Meiryo UI" w:cs="Meiryo UI" w:hint="eastAsia"/>
          <w:szCs w:val="21"/>
        </w:rPr>
        <w:t>条</w:t>
      </w:r>
      <w:r w:rsidR="00AA4C44" w:rsidRPr="00333F7D">
        <w:rPr>
          <w:rFonts w:ascii="Meiryo UI" w:eastAsia="Meiryo UI" w:hAnsi="Meiryo UI" w:cs="Meiryo UI" w:hint="eastAsia"/>
          <w:szCs w:val="21"/>
        </w:rPr>
        <w:t>（担保の変更）</w:t>
      </w:r>
    </w:p>
    <w:p w14:paraId="00664153"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取得した担保権または保証金などは、返還または変更する事由が生じたときは、所定の手続に基づき、決裁を得るものとする。</w:t>
      </w:r>
    </w:p>
    <w:p w14:paraId="6DE4C9B1" w14:textId="77777777" w:rsidR="00AA4C44" w:rsidRPr="00333F7D" w:rsidRDefault="00AA4C44" w:rsidP="00AA4C44">
      <w:pPr>
        <w:rPr>
          <w:rFonts w:ascii="Meiryo UI" w:eastAsia="Meiryo UI" w:hAnsi="Meiryo UI" w:cs="Meiryo UI"/>
          <w:szCs w:val="21"/>
        </w:rPr>
      </w:pPr>
    </w:p>
    <w:p w14:paraId="7D1A8282"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lastRenderedPageBreak/>
        <w:t>第</w:t>
      </w:r>
      <w:r w:rsidR="009714C0">
        <w:rPr>
          <w:rFonts w:ascii="Meiryo UI" w:eastAsia="Meiryo UI" w:hAnsi="Meiryo UI" w:cs="Meiryo UI" w:hint="eastAsia"/>
          <w:szCs w:val="21"/>
        </w:rPr>
        <w:t>19</w:t>
      </w:r>
      <w:r>
        <w:rPr>
          <w:rFonts w:ascii="Meiryo UI" w:eastAsia="Meiryo UI" w:hAnsi="Meiryo UI" w:cs="Meiryo UI" w:hint="eastAsia"/>
          <w:szCs w:val="21"/>
        </w:rPr>
        <w:t>条</w:t>
      </w:r>
      <w:r w:rsidR="00AA4C44" w:rsidRPr="00333F7D">
        <w:rPr>
          <w:rFonts w:ascii="Meiryo UI" w:eastAsia="Meiryo UI" w:hAnsi="Meiryo UI" w:cs="Meiryo UI" w:hint="eastAsia"/>
          <w:szCs w:val="21"/>
        </w:rPr>
        <w:t>（担保物件の保管責任）</w:t>
      </w:r>
    </w:p>
    <w:p w14:paraId="7D0DC383"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担保物件の保管責任者は、与信管理管掌役員とする。</w:t>
      </w:r>
    </w:p>
    <w:p w14:paraId="14127666" w14:textId="77777777" w:rsidR="00AA4C44" w:rsidRPr="00333F7D" w:rsidRDefault="00AA4C44" w:rsidP="00AA4C44">
      <w:pPr>
        <w:rPr>
          <w:rFonts w:ascii="Meiryo UI" w:eastAsia="Meiryo UI" w:hAnsi="Meiryo UI" w:cs="Meiryo UI"/>
          <w:szCs w:val="21"/>
        </w:rPr>
      </w:pPr>
    </w:p>
    <w:p w14:paraId="2354D9A2" w14:textId="77777777" w:rsidR="00AA4C44" w:rsidRPr="00333F7D" w:rsidRDefault="00AA4C44" w:rsidP="003B1EB6">
      <w:pPr>
        <w:jc w:val="center"/>
        <w:rPr>
          <w:rFonts w:ascii="Meiryo UI" w:eastAsia="Meiryo UI" w:hAnsi="Meiryo UI" w:cs="Meiryo UI"/>
          <w:szCs w:val="21"/>
        </w:rPr>
      </w:pPr>
      <w:r w:rsidRPr="00333F7D">
        <w:rPr>
          <w:rFonts w:ascii="Meiryo UI" w:eastAsia="Meiryo UI" w:hAnsi="Meiryo UI" w:cs="Meiryo UI" w:hint="eastAsia"/>
          <w:szCs w:val="21"/>
        </w:rPr>
        <w:t>第４章　その他</w:t>
      </w:r>
    </w:p>
    <w:p w14:paraId="092DE6A2" w14:textId="77777777" w:rsidR="00AA4C44" w:rsidRPr="00333F7D" w:rsidRDefault="003B1EB6" w:rsidP="00AA4C44">
      <w:pPr>
        <w:rPr>
          <w:rFonts w:ascii="Meiryo UI" w:eastAsia="Meiryo UI" w:hAnsi="Meiryo UI" w:cs="Meiryo UI"/>
          <w:szCs w:val="21"/>
        </w:rPr>
      </w:pPr>
      <w:r>
        <w:rPr>
          <w:rFonts w:ascii="Meiryo UI" w:eastAsia="Meiryo UI" w:hAnsi="Meiryo UI" w:cs="Meiryo UI" w:hint="eastAsia"/>
          <w:szCs w:val="21"/>
        </w:rPr>
        <w:t>第</w:t>
      </w:r>
      <w:r w:rsidR="009714C0">
        <w:rPr>
          <w:rFonts w:ascii="Meiryo UI" w:eastAsia="Meiryo UI" w:hAnsi="Meiryo UI" w:cs="Meiryo UI" w:hint="eastAsia"/>
          <w:szCs w:val="21"/>
        </w:rPr>
        <w:t>20</w:t>
      </w:r>
      <w:r>
        <w:rPr>
          <w:rFonts w:ascii="Meiryo UI" w:eastAsia="Meiryo UI" w:hAnsi="Meiryo UI" w:cs="Meiryo UI" w:hint="eastAsia"/>
          <w:szCs w:val="21"/>
        </w:rPr>
        <w:t>条</w:t>
      </w:r>
      <w:r w:rsidR="00AA4C44" w:rsidRPr="00333F7D">
        <w:rPr>
          <w:rFonts w:ascii="Meiryo UI" w:eastAsia="Meiryo UI" w:hAnsi="Meiryo UI" w:cs="Meiryo UI" w:hint="eastAsia"/>
          <w:szCs w:val="21"/>
        </w:rPr>
        <w:t>（規程の改廃）</w:t>
      </w:r>
    </w:p>
    <w:p w14:paraId="40F592F8" w14:textId="77777777" w:rsidR="00AA4C44" w:rsidRPr="00333F7D" w:rsidRDefault="00AA4C44" w:rsidP="003B1EB6">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本規程の改廃は、取締役会の決議とする。</w:t>
      </w:r>
    </w:p>
    <w:p w14:paraId="2813FDD3" w14:textId="77777777" w:rsidR="00AA4C44" w:rsidRPr="00333F7D" w:rsidRDefault="00AA4C44" w:rsidP="00AA4C44">
      <w:pPr>
        <w:rPr>
          <w:rFonts w:ascii="Meiryo UI" w:eastAsia="Meiryo UI" w:hAnsi="Meiryo UI" w:cs="Meiryo UI"/>
          <w:szCs w:val="21"/>
        </w:rPr>
      </w:pPr>
    </w:p>
    <w:p w14:paraId="21FD574E" w14:textId="77777777" w:rsidR="00AA4C44" w:rsidRDefault="00AA4C44" w:rsidP="00AA4C44">
      <w:pPr>
        <w:rPr>
          <w:rFonts w:ascii="Meiryo UI" w:eastAsia="Meiryo UI" w:hAnsi="Meiryo UI" w:cs="Meiryo UI"/>
          <w:szCs w:val="21"/>
        </w:rPr>
      </w:pPr>
      <w:r w:rsidRPr="00333F7D">
        <w:rPr>
          <w:rFonts w:ascii="Meiryo UI" w:eastAsia="Meiryo UI" w:hAnsi="Meiryo UI" w:cs="Meiryo UI" w:hint="eastAsia"/>
          <w:szCs w:val="21"/>
        </w:rPr>
        <w:t>附則</w:t>
      </w:r>
    </w:p>
    <w:p w14:paraId="0F0B0209" w14:textId="77777777" w:rsidR="009E26F2" w:rsidRPr="00333F7D" w:rsidRDefault="009E26F2" w:rsidP="009E26F2">
      <w:pPr>
        <w:rPr>
          <w:rFonts w:ascii="Meiryo UI" w:eastAsia="Meiryo UI" w:hAnsi="Meiryo UI" w:cs="Meiryo UI"/>
          <w:szCs w:val="21"/>
        </w:rPr>
      </w:pPr>
      <w:r>
        <w:rPr>
          <w:rFonts w:ascii="Meiryo UI" w:eastAsia="Meiryo UI" w:hAnsi="Meiryo UI" w:cs="Meiryo UI" w:hint="eastAsia"/>
          <w:szCs w:val="21"/>
        </w:rPr>
        <w:t>第１条</w:t>
      </w:r>
      <w:r w:rsidRPr="00333F7D">
        <w:rPr>
          <w:rFonts w:ascii="Meiryo UI" w:eastAsia="Meiryo UI" w:hAnsi="Meiryo UI" w:cs="Meiryo UI" w:hint="eastAsia"/>
          <w:szCs w:val="21"/>
        </w:rPr>
        <w:t>（規程の改廃）</w:t>
      </w:r>
    </w:p>
    <w:p w14:paraId="3459DDAD" w14:textId="77777777" w:rsidR="009E26F2" w:rsidRPr="00333F7D" w:rsidRDefault="009E26F2" w:rsidP="009E26F2">
      <w:pPr>
        <w:ind w:leftChars="100" w:left="210" w:firstLineChars="100" w:firstLine="210"/>
        <w:rPr>
          <w:rFonts w:ascii="Meiryo UI" w:eastAsia="Meiryo UI" w:hAnsi="Meiryo UI" w:cs="Meiryo UI"/>
          <w:szCs w:val="21"/>
        </w:rPr>
      </w:pPr>
      <w:r w:rsidRPr="00333F7D">
        <w:rPr>
          <w:rFonts w:ascii="Meiryo UI" w:eastAsia="Meiryo UI" w:hAnsi="Meiryo UI" w:cs="Meiryo UI" w:hint="eastAsia"/>
          <w:szCs w:val="21"/>
        </w:rPr>
        <w:t>本規程の改廃は、取締役会の決議とする。</w:t>
      </w:r>
    </w:p>
    <w:p w14:paraId="7699F77B" w14:textId="77777777" w:rsidR="009E26F2" w:rsidRPr="009E26F2" w:rsidRDefault="009E26F2" w:rsidP="00AA4C44">
      <w:pPr>
        <w:rPr>
          <w:rFonts w:ascii="Meiryo UI" w:eastAsia="Meiryo UI" w:hAnsi="Meiryo UI" w:cs="Meiryo UI"/>
          <w:szCs w:val="21"/>
        </w:rPr>
      </w:pPr>
    </w:p>
    <w:p w14:paraId="0BB82E63" w14:textId="77777777" w:rsidR="009E26F2" w:rsidRPr="009E26F2" w:rsidRDefault="009E26F2" w:rsidP="009E26F2">
      <w:pPr>
        <w:wordWrap w:val="0"/>
        <w:autoSpaceDE w:val="0"/>
        <w:autoSpaceDN w:val="0"/>
        <w:adjustRightInd w:val="0"/>
        <w:spacing w:line="360" w:lineRule="atLeast"/>
        <w:textAlignment w:val="baseline"/>
        <w:rPr>
          <w:rFonts w:ascii="Meiryo UI" w:eastAsia="Meiryo UI" w:hAnsi="Meiryo UI" w:cs="Meiryo UI"/>
          <w:kern w:val="0"/>
          <w:szCs w:val="21"/>
        </w:rPr>
      </w:pPr>
      <w:r w:rsidRPr="009E26F2">
        <w:rPr>
          <w:rFonts w:ascii="Meiryo UI" w:eastAsia="Meiryo UI" w:hAnsi="Meiryo UI" w:cs="Meiryo UI" w:hint="eastAsia"/>
          <w:kern w:val="0"/>
          <w:szCs w:val="21"/>
        </w:rPr>
        <w:t>第２条（実施期日）</w:t>
      </w:r>
    </w:p>
    <w:p w14:paraId="33D83374" w14:textId="77777777" w:rsidR="009E26F2" w:rsidRPr="00333F7D" w:rsidRDefault="009E26F2" w:rsidP="009E26F2">
      <w:pPr>
        <w:ind w:leftChars="100" w:left="210" w:firstLineChars="100" w:firstLine="210"/>
        <w:rPr>
          <w:rFonts w:ascii="Meiryo UI" w:eastAsia="Meiryo UI" w:hAnsi="Meiryo UI" w:cs="Meiryo UI"/>
          <w:szCs w:val="21"/>
        </w:rPr>
      </w:pPr>
      <w:r w:rsidRPr="009E26F2">
        <w:rPr>
          <w:rFonts w:ascii="Meiryo UI" w:eastAsia="Meiryo UI" w:hAnsi="Meiryo UI" w:cs="Meiryo UI" w:hint="eastAsia"/>
          <w:kern w:val="0"/>
          <w:szCs w:val="21"/>
        </w:rPr>
        <w:t>この規程は、〇〇〇〇年〇〇月〇〇日より実施する。</w:t>
      </w:r>
    </w:p>
    <w:p w14:paraId="083AB86B" w14:textId="77777777" w:rsidR="00AA4C44" w:rsidRPr="00333F7D" w:rsidRDefault="00AA4C44" w:rsidP="00AA4C44">
      <w:pPr>
        <w:rPr>
          <w:rFonts w:ascii="Meiryo UI" w:eastAsia="Meiryo UI" w:hAnsi="Meiryo UI" w:cs="Meiryo UI"/>
          <w:szCs w:val="21"/>
        </w:rPr>
      </w:pPr>
    </w:p>
    <w:p w14:paraId="4FC19B17" w14:textId="77777777" w:rsidR="00AA4C44" w:rsidRPr="00333F7D" w:rsidRDefault="00AA4C44" w:rsidP="00AA4C44">
      <w:pPr>
        <w:jc w:val="right"/>
        <w:rPr>
          <w:rFonts w:ascii="Meiryo UI" w:eastAsia="Meiryo UI" w:hAnsi="Meiryo UI" w:cs="Meiryo UI"/>
          <w:szCs w:val="21"/>
        </w:rPr>
      </w:pPr>
      <w:r w:rsidRPr="00333F7D">
        <w:rPr>
          <w:rFonts w:ascii="Meiryo UI" w:eastAsia="Meiryo UI" w:hAnsi="Meiryo UI" w:cs="Meiryo UI" w:hint="eastAsia"/>
          <w:szCs w:val="21"/>
        </w:rPr>
        <w:t>以上</w:t>
      </w:r>
    </w:p>
    <w:sectPr w:rsidR="00AA4C44" w:rsidRPr="00333F7D" w:rsidSect="00081F1D">
      <w:pgSz w:w="11906" w:h="16838" w:code="9"/>
      <w:pgMar w:top="1134" w:right="851" w:bottom="851"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B62D8" w14:textId="77777777" w:rsidR="006C6B64" w:rsidRDefault="006C6B64" w:rsidP="006C6B64">
      <w:r>
        <w:separator/>
      </w:r>
    </w:p>
  </w:endnote>
  <w:endnote w:type="continuationSeparator" w:id="0">
    <w:p w14:paraId="568DF234" w14:textId="77777777" w:rsidR="006C6B64" w:rsidRDefault="006C6B64" w:rsidP="006C6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FF5EA" w14:textId="77777777" w:rsidR="006C6B64" w:rsidRDefault="006C6B64" w:rsidP="006C6B64">
      <w:r>
        <w:separator/>
      </w:r>
    </w:p>
  </w:footnote>
  <w:footnote w:type="continuationSeparator" w:id="0">
    <w:p w14:paraId="0439F192" w14:textId="77777777" w:rsidR="006C6B64" w:rsidRDefault="006C6B64" w:rsidP="006C6B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C44"/>
    <w:rsid w:val="00081F1D"/>
    <w:rsid w:val="000E4FE3"/>
    <w:rsid w:val="001B66F2"/>
    <w:rsid w:val="001F0C55"/>
    <w:rsid w:val="00220351"/>
    <w:rsid w:val="00333F7D"/>
    <w:rsid w:val="003B1EB6"/>
    <w:rsid w:val="004F4317"/>
    <w:rsid w:val="00533566"/>
    <w:rsid w:val="005A5D92"/>
    <w:rsid w:val="005C3C9C"/>
    <w:rsid w:val="005E3A88"/>
    <w:rsid w:val="006C6B64"/>
    <w:rsid w:val="007D4060"/>
    <w:rsid w:val="00894C71"/>
    <w:rsid w:val="008B4D96"/>
    <w:rsid w:val="009714C0"/>
    <w:rsid w:val="009E26F2"/>
    <w:rsid w:val="00AA4C44"/>
    <w:rsid w:val="00DF7678"/>
    <w:rsid w:val="00ED1C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4B4630B8"/>
  <w15:chartTrackingRefBased/>
  <w15:docId w15:val="{A8B5E316-B3B8-4A05-AB4C-C6BFA629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C6B64"/>
    <w:pPr>
      <w:tabs>
        <w:tab w:val="center" w:pos="4252"/>
        <w:tab w:val="right" w:pos="8504"/>
      </w:tabs>
      <w:snapToGrid w:val="0"/>
    </w:pPr>
  </w:style>
  <w:style w:type="character" w:customStyle="1" w:styleId="a4">
    <w:name w:val="ヘッダー (文字)"/>
    <w:basedOn w:val="a0"/>
    <w:link w:val="a3"/>
    <w:uiPriority w:val="99"/>
    <w:rsid w:val="006C6B64"/>
  </w:style>
  <w:style w:type="paragraph" w:styleId="a5">
    <w:name w:val="footer"/>
    <w:basedOn w:val="a"/>
    <w:link w:val="a6"/>
    <w:uiPriority w:val="99"/>
    <w:unhideWhenUsed/>
    <w:rsid w:val="006C6B64"/>
    <w:pPr>
      <w:tabs>
        <w:tab w:val="center" w:pos="4252"/>
        <w:tab w:val="right" w:pos="8504"/>
      </w:tabs>
      <w:snapToGrid w:val="0"/>
    </w:pPr>
  </w:style>
  <w:style w:type="character" w:customStyle="1" w:styleId="a6">
    <w:name w:val="フッター (文字)"/>
    <w:basedOn w:val="a0"/>
    <w:link w:val="a5"/>
    <w:uiPriority w:val="99"/>
    <w:rsid w:val="006C6B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447</Words>
  <Characters>2548</Characters>
  <Application>Microsoft Office Word</Application>
  <DocSecurity>0</DocSecurity>
  <Lines>21</Lines>
  <Paragraphs>5</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15</cp:revision>
  <dcterms:created xsi:type="dcterms:W3CDTF">2022-06-27T07:43:00Z</dcterms:created>
  <dcterms:modified xsi:type="dcterms:W3CDTF">2026-07-24T08:09:00Z</dcterms:modified>
</cp:coreProperties>
</file>