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外注管理規程（ドラフト）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本規程は、株式会社MoMoにおける外注先及び業務委託先の選定、契約、発注、進捗管理、検収、支払及び評価に関する基本事項を定め、外注取引の品質、適正性及び透明性を確保することを目的とする。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会社が外部の法人又は個人に業務を委託する場合は、法令、定款、職務権限規程、稟議規程、購買管理規程その他別に定めるもののほか、本規程による。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外注取引は、業務上の必要性、外注先の能力、契約条件、成果物、納期、費用、情報管理、反社リスクその他必要な事項を確認したうえで実施する。</w:t>
      </w:r>
    </w:p>
    <w:p>
      <w:pPr>
        <w:pStyle w:val="ListNumber"/>
        <w:spacing w:before="0" w:after="160" w:line="280" w:lineRule="auto"/>
        <w:ind w:left="720" w:hanging="360"/>
      </w:pPr>
      <w:r>
        <w:rPr>
          <w:rFonts w:ascii="Arial Unicode MS" w:hAnsi="Arial Unicode MS" w:eastAsia="Arial Unicode MS" w:cs="Arial Unicode MS"/>
          <w:b w:val="0"/>
          <w:i w:val="0"/>
        </w:rPr>
        <w:t>外注取引は、属人性及び恣意性を排除し、選定理由、契約条件、検収結果及び支払根拠を記録する。</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外注管理の主管部署は、外注を行う担当部門及び管理部とする。</w:t>
      </w:r>
    </w:p>
    <w:p>
      <w:pPr>
        <w:pStyle w:val="ListNumber"/>
        <w:spacing w:before="0" w:after="160" w:line="280" w:lineRule="auto"/>
        <w:ind w:left="720" w:hanging="360"/>
      </w:pPr>
      <w:r>
        <w:rPr>
          <w:rFonts w:ascii="Arial Unicode MS" w:hAnsi="Arial Unicode MS" w:eastAsia="Arial Unicode MS" w:cs="Arial Unicode MS"/>
          <w:b w:val="0"/>
          <w:i w:val="0"/>
        </w:rPr>
        <w:t>担当部門は、外注の必要性、外注先の選定、業務内容、進捗、成果物及び検収を管理する。</w:t>
      </w:r>
    </w:p>
    <w:p>
      <w:pPr>
        <w:pStyle w:val="ListNumber"/>
        <w:spacing w:before="0" w:after="160" w:line="280" w:lineRule="auto"/>
        <w:ind w:left="720" w:hanging="360"/>
      </w:pPr>
      <w:r>
        <w:rPr>
          <w:rFonts w:ascii="Arial Unicode MS" w:hAnsi="Arial Unicode MS" w:eastAsia="Arial Unicode MS" w:cs="Arial Unicode MS"/>
          <w:b w:val="0"/>
          <w:i w:val="0"/>
        </w:rPr>
        <w:t>管理部は、契約、稟議、支払、取引先情報及び証憑保存を管理する。</w:t>
      </w:r>
    </w:p>
    <w:p>
      <w:pPr>
        <w:pStyle w:val="Heading2"/>
      </w:pPr>
      <w:r>
        <w:rPr>
          <w:rFonts w:ascii="Arial Unicode MS" w:hAnsi="Arial Unicode MS" w:eastAsia="Arial Unicode MS" w:cs="Arial Unicode MS"/>
          <w:b w:val="0"/>
          <w:i w:val="0"/>
        </w:rPr>
        <w:t>第5条（外注先管理）</w:t>
      </w:r>
    </w:p>
    <w:p>
      <w:pPr>
        <w:spacing w:before="0" w:after="120" w:line="264" w:lineRule="auto"/>
      </w:pPr>
      <w:r>
        <w:rPr>
          <w:rFonts w:ascii="Arial Unicode MS" w:hAnsi="Arial Unicode MS" w:eastAsia="Arial Unicode MS" w:cs="Arial Unicode MS"/>
          <w:b w:val="0"/>
          <w:i w:val="0"/>
        </w:rPr>
        <w:t>外注先情報は、原則としてNotionで管理する。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外注先情報には、外注先名、担当者、連絡先、委託内容、契約状況、支払条件、反社チェック状況、情報管理上の注意事項その他必要な情報を記録する。</w:t>
      </w:r>
    </w:p>
    <w:p>
      <w:pPr>
        <w:pStyle w:val="Heading1"/>
      </w:pPr>
      <w:r>
        <w:rPr>
          <w:rFonts w:ascii="Arial Unicode MS" w:hAnsi="Arial Unicode MS" w:eastAsia="Arial Unicode MS" w:cs="Arial Unicode MS"/>
          <w:b w:val="0"/>
          <w:i w:val="0"/>
        </w:rPr>
        <w:t>第3章 選定</w:t>
      </w:r>
    </w:p>
    <w:p>
      <w:pPr>
        <w:pStyle w:val="Heading2"/>
      </w:pPr>
      <w:r>
        <w:rPr>
          <w:rFonts w:ascii="Arial Unicode MS" w:hAnsi="Arial Unicode MS" w:eastAsia="Arial Unicode MS" w:cs="Arial Unicode MS"/>
          <w:b w:val="0"/>
          <w:i w:val="0"/>
        </w:rPr>
        <w:t>第6条（外注先の選定）</w:t>
      </w:r>
    </w:p>
    <w:p>
      <w:pPr>
        <w:spacing w:before="0" w:after="120" w:line="264" w:lineRule="auto"/>
      </w:pPr>
      <w:r>
        <w:rPr>
          <w:rFonts w:ascii="Arial Unicode MS" w:hAnsi="Arial Unicode MS" w:eastAsia="Arial Unicode MS" w:cs="Arial Unicode MS"/>
          <w:b w:val="0"/>
          <w:i w:val="0"/>
        </w:rPr>
        <w:t>外注先を選定する場合、担当部門は、業務遂行能力、実績、品質、価格、納期、情報管理体制、契約条件及びリスクを確認する。</w:t>
      </w:r>
    </w:p>
    <w:p>
      <w:pPr>
        <w:pStyle w:val="Heading2"/>
      </w:pPr>
      <w:r>
        <w:rPr>
          <w:rFonts w:ascii="Arial Unicode MS" w:hAnsi="Arial Unicode MS" w:eastAsia="Arial Unicode MS" w:cs="Arial Unicode MS"/>
          <w:b w:val="0"/>
          <w:i w:val="0"/>
        </w:rPr>
        <w:t>第7条（選定理由）</w:t>
      </w:r>
    </w:p>
    <w:p>
      <w:pPr>
        <w:spacing w:before="0" w:after="120" w:line="264" w:lineRule="auto"/>
      </w:pPr>
      <w:r>
        <w:rPr>
          <w:rFonts w:ascii="Arial Unicode MS" w:hAnsi="Arial Unicode MS" w:eastAsia="Arial Unicode MS" w:cs="Arial Unicode MS"/>
          <w:b w:val="0"/>
          <w:i w:val="0"/>
        </w:rPr>
        <w:t>担当部門は、外注先の選定理由を記録する。</w:t>
      </w:r>
    </w:p>
    <w:p>
      <w:pPr>
        <w:pStyle w:val="ListNumber"/>
        <w:spacing w:before="0" w:after="160" w:line="280" w:lineRule="auto"/>
        <w:ind w:left="720" w:hanging="360"/>
      </w:pPr>
      <w:r>
        <w:rPr>
          <w:rFonts w:ascii="Arial Unicode MS" w:hAnsi="Arial Unicode MS" w:eastAsia="Arial Unicode MS" w:cs="Arial Unicode MS"/>
          <w:b w:val="0"/>
          <w:i w:val="0"/>
        </w:rPr>
        <w:t>重要又は高額な外注については、必要に応じて複数候補の比較又は価格妥当性の確認を行う。</w:t>
      </w:r>
    </w:p>
    <w:p>
      <w:pPr>
        <w:pStyle w:val="Heading2"/>
      </w:pPr>
      <w:r>
        <w:rPr>
          <w:rFonts w:ascii="Arial Unicode MS" w:hAnsi="Arial Unicode MS" w:eastAsia="Arial Unicode MS" w:cs="Arial Unicode MS"/>
          <w:b w:val="0"/>
          <w:i w:val="0"/>
        </w:rPr>
        <w:t>第8条（反社チェック）</w:t>
      </w:r>
    </w:p>
    <w:p>
      <w:pPr>
        <w:spacing w:before="0" w:after="120" w:line="264" w:lineRule="auto"/>
      </w:pPr>
      <w:r>
        <w:rPr>
          <w:rFonts w:ascii="Arial Unicode MS" w:hAnsi="Arial Unicode MS" w:eastAsia="Arial Unicode MS" w:cs="Arial Unicode MS"/>
          <w:b w:val="0"/>
          <w:i w:val="0"/>
        </w:rPr>
        <w:t>新規外注先については、契約締結前に反社会的勢力との関係がないことを確認する。</w:t>
      </w:r>
    </w:p>
    <w:p>
      <w:pPr>
        <w:pStyle w:val="ListNumber"/>
        <w:spacing w:before="0" w:after="160" w:line="280" w:lineRule="auto"/>
        <w:ind w:left="720" w:hanging="360"/>
      </w:pPr>
      <w:r>
        <w:rPr>
          <w:rFonts w:ascii="Arial Unicode MS" w:hAnsi="Arial Unicode MS" w:eastAsia="Arial Unicode MS" w:cs="Arial Unicode MS"/>
          <w:b w:val="0"/>
          <w:i w:val="0"/>
        </w:rPr>
        <w:t>現時点では反社チェックの実査は未実施であるため、新規外注先から段階的に確認手続を導入する。</w:t>
      </w:r>
    </w:p>
    <w:p>
      <w:pPr>
        <w:pStyle w:val="Heading1"/>
      </w:pPr>
      <w:r>
        <w:rPr>
          <w:rFonts w:ascii="Arial Unicode MS" w:hAnsi="Arial Unicode MS" w:eastAsia="Arial Unicode MS" w:cs="Arial Unicode MS"/>
          <w:b w:val="0"/>
          <w:i w:val="0"/>
        </w:rPr>
        <w:t>第4章 契約及び発注</w:t>
      </w:r>
    </w:p>
    <w:p>
      <w:pPr>
        <w:pStyle w:val="Heading2"/>
      </w:pPr>
      <w:r>
        <w:rPr>
          <w:rFonts w:ascii="Arial Unicode MS" w:hAnsi="Arial Unicode MS" w:eastAsia="Arial Unicode MS" w:cs="Arial Unicode MS"/>
          <w:b w:val="0"/>
          <w:i w:val="0"/>
        </w:rPr>
        <w:t>第9条（契約）</w:t>
      </w:r>
    </w:p>
    <w:p>
      <w:pPr>
        <w:spacing w:before="0" w:after="120" w:line="264" w:lineRule="auto"/>
      </w:pPr>
      <w:r>
        <w:rPr>
          <w:rFonts w:ascii="Arial Unicode MS" w:hAnsi="Arial Unicode MS" w:eastAsia="Arial Unicode MS" w:cs="Arial Unicode MS"/>
          <w:b w:val="0"/>
          <w:i w:val="0"/>
        </w:rPr>
        <w:t>外注取引を行う場合、原則として契約書、発注書、注文書、業務委託契約書その他委託内容を確認できる書面又は電子記録を作成する。</w:t>
      </w:r>
    </w:p>
    <w:p>
      <w:pPr>
        <w:pStyle w:val="ListNumber"/>
        <w:spacing w:before="0" w:after="160" w:line="280" w:lineRule="auto"/>
        <w:ind w:left="720" w:hanging="360"/>
      </w:pPr>
      <w:r>
        <w:rPr>
          <w:rFonts w:ascii="Arial Unicode MS" w:hAnsi="Arial Unicode MS" w:eastAsia="Arial Unicode MS" w:cs="Arial Unicode MS"/>
          <w:b w:val="0"/>
          <w:i w:val="0"/>
        </w:rPr>
        <w:t>契約書は、原則としてマネーフォワードを使用して作成又は管理する。</w:t>
      </w:r>
    </w:p>
    <w:p>
      <w:pPr>
        <w:pStyle w:val="ListNumber"/>
        <w:spacing w:before="0" w:after="160" w:line="280" w:lineRule="auto"/>
        <w:ind w:left="720" w:hanging="360"/>
      </w:pPr>
      <w:r>
        <w:rPr>
          <w:rFonts w:ascii="Arial Unicode MS" w:hAnsi="Arial Unicode MS" w:eastAsia="Arial Unicode MS" w:cs="Arial Unicode MS"/>
          <w:b w:val="0"/>
          <w:i w:val="0"/>
        </w:rPr>
        <w:t>契約締結にあたっては、塚原が契約内容を確認し、代表取締役社長が最終押印又は電子署名を行う。</w:t>
      </w:r>
    </w:p>
    <w:p>
      <w:pPr>
        <w:pStyle w:val="Heading2"/>
      </w:pPr>
      <w:r>
        <w:rPr>
          <w:rFonts w:ascii="Arial Unicode MS" w:hAnsi="Arial Unicode MS" w:eastAsia="Arial Unicode MS" w:cs="Arial Unicode MS"/>
          <w:b w:val="0"/>
          <w:i w:val="0"/>
        </w:rPr>
        <w:t>第10条（契約記載事項）</w:t>
      </w:r>
    </w:p>
    <w:p>
      <w:pPr>
        <w:spacing w:before="0" w:after="120" w:line="264" w:lineRule="auto"/>
      </w:pPr>
      <w:r>
        <w:rPr>
          <w:rFonts w:ascii="Arial Unicode MS" w:hAnsi="Arial Unicode MS" w:eastAsia="Arial Unicode MS" w:cs="Arial Unicode MS"/>
          <w:b w:val="0"/>
          <w:i w:val="0"/>
        </w:rPr>
        <w:t>外注契約には、必要に応じて次の事項を定める。</w:t>
      </w:r>
    </w:p>
    <w:p>
      <w:pPr>
        <w:pStyle w:val="ListNumber"/>
        <w:spacing w:before="0" w:after="160" w:line="280" w:lineRule="auto"/>
        <w:ind w:left="720" w:hanging="360"/>
      </w:pPr>
      <w:r>
        <w:rPr>
          <w:rFonts w:ascii="Arial Unicode MS" w:hAnsi="Arial Unicode MS" w:eastAsia="Arial Unicode MS" w:cs="Arial Unicode MS"/>
          <w:b w:val="0"/>
          <w:i w:val="0"/>
        </w:rPr>
        <w:t>業務内容</w:t>
      </w:r>
    </w:p>
    <w:p>
      <w:pPr>
        <w:pStyle w:val="ListNumber"/>
        <w:spacing w:before="0" w:after="160" w:line="280" w:lineRule="auto"/>
        <w:ind w:left="720" w:hanging="360"/>
      </w:pPr>
      <w:r>
        <w:rPr>
          <w:rFonts w:ascii="Arial Unicode MS" w:hAnsi="Arial Unicode MS" w:eastAsia="Arial Unicode MS" w:cs="Arial Unicode MS"/>
          <w:b w:val="0"/>
          <w:i w:val="0"/>
        </w:rPr>
        <w:t>成果物</w:t>
      </w:r>
    </w:p>
    <w:p>
      <w:pPr>
        <w:pStyle w:val="ListNumber"/>
        <w:spacing w:before="0" w:after="160" w:line="280" w:lineRule="auto"/>
        <w:ind w:left="720" w:hanging="360"/>
      </w:pPr>
      <w:r>
        <w:rPr>
          <w:rFonts w:ascii="Arial Unicode MS" w:hAnsi="Arial Unicode MS" w:eastAsia="Arial Unicode MS" w:cs="Arial Unicode MS"/>
          <w:b w:val="0"/>
          <w:i w:val="0"/>
        </w:rPr>
        <w:t>納期又は履行期間</w:t>
      </w:r>
    </w:p>
    <w:p>
      <w:pPr>
        <w:pStyle w:val="ListNumber"/>
        <w:spacing w:before="0" w:after="160" w:line="280" w:lineRule="auto"/>
        <w:ind w:left="720" w:hanging="360"/>
      </w:pPr>
      <w:r>
        <w:rPr>
          <w:rFonts w:ascii="Arial Unicode MS" w:hAnsi="Arial Unicode MS" w:eastAsia="Arial Unicode MS" w:cs="Arial Unicode MS"/>
          <w:b w:val="0"/>
          <w:i w:val="0"/>
        </w:rPr>
        <w:t>報酬及び支払条件</w:t>
      </w:r>
    </w:p>
    <w:p>
      <w:pPr>
        <w:pStyle w:val="ListNumber"/>
        <w:spacing w:before="0" w:after="160" w:line="280" w:lineRule="auto"/>
        <w:ind w:left="720" w:hanging="360"/>
      </w:pPr>
      <w:r>
        <w:rPr>
          <w:rFonts w:ascii="Arial Unicode MS" w:hAnsi="Arial Unicode MS" w:eastAsia="Arial Unicode MS" w:cs="Arial Unicode MS"/>
          <w:b w:val="0"/>
          <w:i w:val="0"/>
        </w:rPr>
        <w:t>検収方法</w:t>
      </w:r>
    </w:p>
    <w:p>
      <w:pPr>
        <w:pStyle w:val="ListNumber"/>
        <w:spacing w:before="0" w:after="160" w:line="280" w:lineRule="auto"/>
        <w:ind w:left="720" w:hanging="360"/>
      </w:pPr>
      <w:r>
        <w:rPr>
          <w:rFonts w:ascii="Arial Unicode MS" w:hAnsi="Arial Unicode MS" w:eastAsia="Arial Unicode MS" w:cs="Arial Unicode MS"/>
          <w:b w:val="0"/>
          <w:i w:val="0"/>
        </w:rPr>
        <w:t>再委託の可否</w:t>
      </w:r>
    </w:p>
    <w:p>
      <w:pPr>
        <w:pStyle w:val="ListNumber"/>
        <w:spacing w:before="0" w:after="160" w:line="280" w:lineRule="auto"/>
        <w:ind w:left="720" w:hanging="360"/>
      </w:pPr>
      <w:r>
        <w:rPr>
          <w:rFonts w:ascii="Arial Unicode MS" w:hAnsi="Arial Unicode MS" w:eastAsia="Arial Unicode MS" w:cs="Arial Unicode MS"/>
          <w:b w:val="0"/>
          <w:i w:val="0"/>
        </w:rPr>
        <w:t>秘密保持</w:t>
      </w:r>
    </w:p>
    <w:p>
      <w:pPr>
        <w:pStyle w:val="ListNumber"/>
        <w:spacing w:before="0" w:after="160" w:line="280" w:lineRule="auto"/>
        <w:ind w:left="720" w:hanging="360"/>
      </w:pPr>
      <w:r>
        <w:rPr>
          <w:rFonts w:ascii="Arial Unicode MS" w:hAnsi="Arial Unicode MS" w:eastAsia="Arial Unicode MS" w:cs="Arial Unicode MS"/>
          <w:b w:val="0"/>
          <w:i w:val="0"/>
        </w:rPr>
        <w:t>個人情報及び情報セキュリティ</w:t>
      </w:r>
    </w:p>
    <w:p>
      <w:pPr>
        <w:pStyle w:val="ListNumber"/>
        <w:spacing w:before="0" w:after="160" w:line="280" w:lineRule="auto"/>
        <w:ind w:left="720" w:hanging="360"/>
      </w:pPr>
      <w:r>
        <w:rPr>
          <w:rFonts w:ascii="Arial Unicode MS" w:hAnsi="Arial Unicode MS" w:eastAsia="Arial Unicode MS" w:cs="Arial Unicode MS"/>
          <w:b w:val="0"/>
          <w:i w:val="0"/>
        </w:rPr>
        <w:t>知的財産権</w:t>
      </w:r>
    </w:p>
    <w:p>
      <w:pPr>
        <w:pStyle w:val="ListNumber"/>
        <w:spacing w:before="0" w:after="160" w:line="280" w:lineRule="auto"/>
        <w:ind w:left="720" w:hanging="360"/>
      </w:pPr>
      <w:r>
        <w:rPr>
          <w:rFonts w:ascii="Arial Unicode MS" w:hAnsi="Arial Unicode MS" w:eastAsia="Arial Unicode MS" w:cs="Arial Unicode MS"/>
          <w:b w:val="0"/>
          <w:i w:val="0"/>
        </w:rPr>
        <w:t>反社会的勢力排除条項</w:t>
      </w:r>
    </w:p>
    <w:p>
      <w:pPr>
        <w:pStyle w:val="ListNumber"/>
        <w:spacing w:before="0" w:after="160" w:line="280" w:lineRule="auto"/>
        <w:ind w:left="720" w:hanging="360"/>
      </w:pPr>
      <w:r>
        <w:rPr>
          <w:rFonts w:ascii="Arial Unicode MS" w:hAnsi="Arial Unicode MS" w:eastAsia="Arial Unicode MS" w:cs="Arial Unicode MS"/>
          <w:b w:val="0"/>
          <w:i w:val="0"/>
        </w:rPr>
        <w:t>契約解除</w:t>
      </w:r>
    </w:p>
    <w:p>
      <w:pPr>
        <w:pStyle w:val="ListNumber"/>
        <w:spacing w:before="0" w:after="160" w:line="280" w:lineRule="auto"/>
        <w:ind w:left="720" w:hanging="360"/>
      </w:pPr>
      <w:r>
        <w:rPr>
          <w:rFonts w:ascii="Arial Unicode MS" w:hAnsi="Arial Unicode MS" w:eastAsia="Arial Unicode MS" w:cs="Arial Unicode MS"/>
          <w:b w:val="0"/>
          <w:i w:val="0"/>
        </w:rPr>
        <w:t>損害賠償</w:t>
      </w:r>
    </w:p>
    <w:p>
      <w:pPr>
        <w:pStyle w:val="Heading2"/>
      </w:pPr>
      <w:r>
        <w:rPr>
          <w:rFonts w:ascii="Arial Unicode MS" w:hAnsi="Arial Unicode MS" w:eastAsia="Arial Unicode MS" w:cs="Arial Unicode MS"/>
          <w:b w:val="0"/>
          <w:i w:val="0"/>
        </w:rPr>
        <w:t>第11条（承認）</w:t>
      </w:r>
    </w:p>
    <w:p>
      <w:pPr>
        <w:spacing w:before="0" w:after="120" w:line="264" w:lineRule="auto"/>
      </w:pPr>
      <w:r>
        <w:rPr>
          <w:rFonts w:ascii="Arial Unicode MS" w:hAnsi="Arial Unicode MS" w:eastAsia="Arial Unicode MS" w:cs="Arial Unicode MS"/>
          <w:b w:val="0"/>
          <w:i w:val="0"/>
        </w:rPr>
        <w:t>10万円以上の外注、継続的な外注、重要な開発業務、個人情報又は機密情報を取り扱う外注は、稟議規程に基づき事前承認を得る。</w:t>
      </w:r>
    </w:p>
    <w:p>
      <w:pPr>
        <w:pStyle w:val="Heading1"/>
      </w:pPr>
      <w:r>
        <w:rPr>
          <w:rFonts w:ascii="Arial Unicode MS" w:hAnsi="Arial Unicode MS" w:eastAsia="Arial Unicode MS" w:cs="Arial Unicode MS"/>
          <w:b w:val="0"/>
          <w:i w:val="0"/>
        </w:rPr>
        <w:t>第5章 進捗管理及び検収</w:t>
      </w:r>
    </w:p>
    <w:p>
      <w:pPr>
        <w:pStyle w:val="Heading2"/>
      </w:pPr>
      <w:r>
        <w:rPr>
          <w:rFonts w:ascii="Arial Unicode MS" w:hAnsi="Arial Unicode MS" w:eastAsia="Arial Unicode MS" w:cs="Arial Unicode MS"/>
          <w:b w:val="0"/>
          <w:i w:val="0"/>
        </w:rPr>
        <w:t>第12条（進捗管理）</w:t>
      </w:r>
    </w:p>
    <w:p>
      <w:pPr>
        <w:spacing w:before="0" w:after="120" w:line="264" w:lineRule="auto"/>
      </w:pPr>
      <w:r>
        <w:rPr>
          <w:rFonts w:ascii="Arial Unicode MS" w:hAnsi="Arial Unicode MS" w:eastAsia="Arial Unicode MS" w:cs="Arial Unicode MS"/>
          <w:b w:val="0"/>
          <w:i w:val="0"/>
        </w:rPr>
        <w:t>担当部門は、外注業務の進捗、品質、課題、納期変更その他重要事項を管理する。</w:t>
      </w:r>
    </w:p>
    <w:p>
      <w:pPr>
        <w:pStyle w:val="Heading2"/>
      </w:pPr>
      <w:r>
        <w:rPr>
          <w:rFonts w:ascii="Arial Unicode MS" w:hAnsi="Arial Unicode MS" w:eastAsia="Arial Unicode MS" w:cs="Arial Unicode MS"/>
          <w:b w:val="0"/>
          <w:i w:val="0"/>
        </w:rPr>
        <w:t>第13条（検収）</w:t>
      </w:r>
    </w:p>
    <w:p>
      <w:pPr>
        <w:spacing w:before="0" w:after="120" w:line="264" w:lineRule="auto"/>
      </w:pPr>
      <w:r>
        <w:rPr>
          <w:rFonts w:ascii="Arial Unicode MS" w:hAnsi="Arial Unicode MS" w:eastAsia="Arial Unicode MS" w:cs="Arial Unicode MS"/>
          <w:b w:val="0"/>
          <w:i w:val="0"/>
        </w:rPr>
        <w:t>担当部門は、成果物又は役務提供が契約内容に適合していることを確認し、検収を行う。</w:t>
      </w:r>
    </w:p>
    <w:p>
      <w:pPr>
        <w:pStyle w:val="ListNumber"/>
        <w:spacing w:before="0" w:after="160" w:line="280" w:lineRule="auto"/>
        <w:ind w:left="720" w:hanging="360"/>
      </w:pPr>
      <w:r>
        <w:rPr>
          <w:rFonts w:ascii="Arial Unicode MS" w:hAnsi="Arial Unicode MS" w:eastAsia="Arial Unicode MS" w:cs="Arial Unicode MS"/>
          <w:b w:val="0"/>
          <w:i w:val="0"/>
        </w:rPr>
        <w:t>検収結果は、支払前に管理部へ報告する。</w:t>
      </w:r>
    </w:p>
    <w:p>
      <w:pPr>
        <w:pStyle w:val="Heading2"/>
      </w:pPr>
      <w:r>
        <w:rPr>
          <w:rFonts w:ascii="Arial Unicode MS" w:hAnsi="Arial Unicode MS" w:eastAsia="Arial Unicode MS" w:cs="Arial Unicode MS"/>
          <w:b w:val="0"/>
          <w:i w:val="0"/>
        </w:rPr>
        <w:t>第14条（不備対応）</w:t>
      </w:r>
    </w:p>
    <w:p>
      <w:pPr>
        <w:spacing w:before="0" w:after="120" w:line="264" w:lineRule="auto"/>
      </w:pPr>
      <w:r>
        <w:rPr>
          <w:rFonts w:ascii="Arial Unicode MS" w:hAnsi="Arial Unicode MS" w:eastAsia="Arial Unicode MS" w:cs="Arial Unicode MS"/>
          <w:b w:val="0"/>
          <w:i w:val="0"/>
        </w:rPr>
        <w:t>成果物又は役務提供に不備がある場合、担当部門は、外注先へ修正、再履行その他必要な対応を求める。</w:t>
      </w:r>
    </w:p>
    <w:p>
      <w:pPr>
        <w:pStyle w:val="Heading1"/>
      </w:pPr>
      <w:r>
        <w:rPr>
          <w:rFonts w:ascii="Arial Unicode MS" w:hAnsi="Arial Unicode MS" w:eastAsia="Arial Unicode MS" w:cs="Arial Unicode MS"/>
          <w:b w:val="0"/>
          <w:i w:val="0"/>
        </w:rPr>
        <w:t>第6章 支払及び評価</w:t>
      </w:r>
    </w:p>
    <w:p>
      <w:pPr>
        <w:pStyle w:val="Heading2"/>
      </w:pPr>
      <w:r>
        <w:rPr>
          <w:rFonts w:ascii="Arial Unicode MS" w:hAnsi="Arial Unicode MS" w:eastAsia="Arial Unicode MS" w:cs="Arial Unicode MS"/>
          <w:b w:val="0"/>
          <w:i w:val="0"/>
        </w:rPr>
        <w:t>第15条（支払）</w:t>
      </w:r>
    </w:p>
    <w:p>
      <w:pPr>
        <w:spacing w:before="0" w:after="120" w:line="264" w:lineRule="auto"/>
      </w:pPr>
      <w:r>
        <w:rPr>
          <w:rFonts w:ascii="Arial Unicode MS" w:hAnsi="Arial Unicode MS" w:eastAsia="Arial Unicode MS" w:cs="Arial Unicode MS"/>
          <w:b w:val="0"/>
          <w:i w:val="0"/>
        </w:rPr>
        <w:t>外注費の支払は、契約書、発注内容、検収結果、請求書その他必要な証憑を確認したうえで行う。</w:t>
      </w:r>
    </w:p>
    <w:p>
      <w:pPr>
        <w:pStyle w:val="ListNumber"/>
        <w:spacing w:before="0" w:after="160" w:line="280" w:lineRule="auto"/>
        <w:ind w:left="720" w:hanging="360"/>
      </w:pPr>
      <w:r>
        <w:rPr>
          <w:rFonts w:ascii="Arial Unicode MS" w:hAnsi="Arial Unicode MS" w:eastAsia="Arial Unicode MS" w:cs="Arial Unicode MS"/>
          <w:b w:val="0"/>
          <w:i w:val="0"/>
        </w:rPr>
        <w:t>支払、銀行振込、インターネットバンキングの承認は、伊藤翔が行う。</w:t>
      </w:r>
    </w:p>
    <w:p>
      <w:pPr>
        <w:pStyle w:val="Heading2"/>
      </w:pPr>
      <w:r>
        <w:rPr>
          <w:rFonts w:ascii="Arial Unicode MS" w:hAnsi="Arial Unicode MS" w:eastAsia="Arial Unicode MS" w:cs="Arial Unicode MS"/>
          <w:b w:val="0"/>
          <w:i w:val="0"/>
        </w:rPr>
        <w:t>第16条（評価）</w:t>
      </w:r>
    </w:p>
    <w:p>
      <w:pPr>
        <w:spacing w:before="0" w:after="120" w:line="264" w:lineRule="auto"/>
      </w:pPr>
      <w:r>
        <w:rPr>
          <w:rFonts w:ascii="Arial Unicode MS" w:hAnsi="Arial Unicode MS" w:eastAsia="Arial Unicode MS" w:cs="Arial Unicode MS"/>
          <w:b w:val="0"/>
          <w:i w:val="0"/>
        </w:rPr>
        <w:t>担当部門は、必要に応じて外注先の品質、納期、価格、対応、情報管理その他の観点から評価を行う。</w:t>
      </w:r>
    </w:p>
    <w:p>
      <w:pPr>
        <w:pStyle w:val="ListNumber"/>
        <w:spacing w:before="0" w:after="160" w:line="280" w:lineRule="auto"/>
        <w:ind w:left="720" w:hanging="360"/>
      </w:pPr>
      <w:r>
        <w:rPr>
          <w:rFonts w:ascii="Arial Unicode MS" w:hAnsi="Arial Unicode MS" w:eastAsia="Arial Unicode MS" w:cs="Arial Unicode MS"/>
          <w:b w:val="0"/>
          <w:i w:val="0"/>
        </w:rPr>
        <w:t>継続取引の可否は、外注先評価及び取引実績を踏まえて判断する。</w:t>
      </w:r>
    </w:p>
    <w:p>
      <w:pPr>
        <w:pStyle w:val="Heading1"/>
      </w:pPr>
      <w:r>
        <w:rPr>
          <w:rFonts w:ascii="Arial Unicode MS" w:hAnsi="Arial Unicode MS" w:eastAsia="Arial Unicode MS" w:cs="Arial Unicode MS"/>
          <w:b w:val="0"/>
          <w:i w:val="0"/>
        </w:rPr>
        <w:t>第7章 保存及び報告</w:t>
      </w:r>
    </w:p>
    <w:p>
      <w:pPr>
        <w:pStyle w:val="Heading2"/>
      </w:pPr>
      <w:r>
        <w:rPr>
          <w:rFonts w:ascii="Arial Unicode MS" w:hAnsi="Arial Unicode MS" w:eastAsia="Arial Unicode MS" w:cs="Arial Unicode MS"/>
          <w:b w:val="0"/>
          <w:i w:val="0"/>
        </w:rPr>
        <w:t>第17条（資料保存）</w:t>
      </w:r>
    </w:p>
    <w:p>
      <w:pPr>
        <w:spacing w:before="0" w:after="120" w:line="264" w:lineRule="auto"/>
      </w:pPr>
      <w:r>
        <w:rPr>
          <w:rFonts w:ascii="Arial Unicode MS" w:hAnsi="Arial Unicode MS" w:eastAsia="Arial Unicode MS" w:cs="Arial Unicode MS"/>
          <w:b w:val="0"/>
          <w:i w:val="0"/>
        </w:rPr>
        <w:t>外注先情報、選定理由、契約書、発注記録、進捗記録、検収記録、請求書、支払記録その他外注取引に関する資料は、管理部又は担当部門が保存管理する。</w:t>
      </w:r>
    </w:p>
    <w:p>
      <w:pPr>
        <w:pStyle w:val="Heading2"/>
      </w:pPr>
      <w:r>
        <w:rPr>
          <w:rFonts w:ascii="Arial Unicode MS" w:hAnsi="Arial Unicode MS" w:eastAsia="Arial Unicode MS" w:cs="Arial Unicode MS"/>
          <w:b w:val="0"/>
          <w:i w:val="0"/>
        </w:rPr>
        <w:t>第18条（報告）</w:t>
      </w:r>
    </w:p>
    <w:p>
      <w:pPr>
        <w:spacing w:before="0" w:after="120" w:line="264" w:lineRule="auto"/>
      </w:pPr>
      <w:r>
        <w:rPr>
          <w:rFonts w:ascii="Arial Unicode MS" w:hAnsi="Arial Unicode MS" w:eastAsia="Arial Unicode MS" w:cs="Arial Unicode MS"/>
          <w:b w:val="0"/>
          <w:i w:val="0"/>
        </w:rPr>
        <w:t>担当部門は、重要な外注、重大な納期遅延、品質不良、契約違反、情報漏えいその他重要事項を経営会議に報告する。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主な外注先及び業務委託先</w:t>
      </w:r>
    </w:p>
    <w:p>
      <w:pPr>
        <w:pStyle w:val="ListBullet"/>
        <w:spacing w:before="0" w:after="160" w:line="280" w:lineRule="auto"/>
        <w:ind w:left="720" w:hanging="360"/>
      </w:pPr>
      <w:r>
        <w:rPr>
          <w:rFonts w:ascii="Arial Unicode MS" w:hAnsi="Arial Unicode MS" w:eastAsia="Arial Unicode MS" w:cs="Arial Unicode MS"/>
          <w:b w:val="0"/>
          <w:i w:val="0"/>
        </w:rPr>
        <w:t>外注先選定基準</w:t>
      </w:r>
    </w:p>
    <w:p>
      <w:pPr>
        <w:pStyle w:val="ListBullet"/>
        <w:spacing w:before="0" w:after="160" w:line="280" w:lineRule="auto"/>
        <w:ind w:left="720" w:hanging="360"/>
      </w:pPr>
      <w:r>
        <w:rPr>
          <w:rFonts w:ascii="Arial Unicode MS" w:hAnsi="Arial Unicode MS" w:eastAsia="Arial Unicode MS" w:cs="Arial Unicode MS"/>
          <w:b w:val="0"/>
          <w:i w:val="0"/>
        </w:rPr>
        <w:t>外注先の反社チェック方法</w:t>
      </w:r>
    </w:p>
    <w:p>
      <w:pPr>
        <w:pStyle w:val="ListBullet"/>
        <w:spacing w:before="0" w:after="160" w:line="280" w:lineRule="auto"/>
        <w:ind w:left="720" w:hanging="360"/>
      </w:pPr>
      <w:r>
        <w:rPr>
          <w:rFonts w:ascii="Arial Unicode MS" w:hAnsi="Arial Unicode MS" w:eastAsia="Arial Unicode MS" w:cs="Arial Unicode MS"/>
          <w:b w:val="0"/>
          <w:i w:val="0"/>
        </w:rPr>
        <w:t>個人情報又は機密情報を扱う外注の有無</w:t>
      </w:r>
    </w:p>
    <w:p>
      <w:pPr>
        <w:pStyle w:val="ListBullet"/>
        <w:spacing w:before="0" w:after="160" w:line="280" w:lineRule="auto"/>
        <w:ind w:left="720" w:hanging="360"/>
      </w:pPr>
      <w:r>
        <w:rPr>
          <w:rFonts w:ascii="Arial Unicode MS" w:hAnsi="Arial Unicode MS" w:eastAsia="Arial Unicode MS" w:cs="Arial Unicode MS"/>
          <w:b w:val="0"/>
          <w:i w:val="0"/>
        </w:rPr>
        <w:t>成果物の検収担当者</w:t>
      </w:r>
    </w:p>
    <w:p>
      <w:pPr>
        <w:pStyle w:val="ListBullet"/>
        <w:spacing w:before="0" w:after="160" w:line="280" w:lineRule="auto"/>
        <w:ind w:left="720" w:hanging="360"/>
      </w:pPr>
      <w:r>
        <w:rPr>
          <w:rFonts w:ascii="Arial Unicode MS" w:hAnsi="Arial Unicode MS" w:eastAsia="Arial Unicode MS" w:cs="Arial Unicode MS"/>
          <w:b w:val="0"/>
          <w:i w:val="0"/>
        </w:rPr>
        <w:t>外注費の金額基準</w:t>
      </w:r>
    </w:p>
    <w:p>
      <w:pPr>
        <w:pStyle w:val="ListBullet"/>
        <w:spacing w:before="0" w:after="160" w:line="280" w:lineRule="auto"/>
        <w:ind w:left="720" w:hanging="360"/>
      </w:pPr>
      <w:r>
        <w:rPr>
          <w:rFonts w:ascii="Arial Unicode MS" w:hAnsi="Arial Unicode MS" w:eastAsia="Arial Unicode MS" w:cs="Arial Unicode MS"/>
          <w:b w:val="0"/>
          <w:i w:val="0"/>
        </w:rPr>
        <w:t>再委託を許可するか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外注先又は業務委託先が存在する。</w:t>
      </w:r>
    </w:p>
    <w:p>
      <w:pPr>
        <w:pStyle w:val="ListBullet"/>
        <w:spacing w:before="0" w:after="160" w:line="280" w:lineRule="auto"/>
        <w:ind w:left="720" w:hanging="360"/>
      </w:pPr>
      <w:r>
        <w:rPr>
          <w:rFonts w:ascii="Arial Unicode MS" w:hAnsi="Arial Unicode MS" w:eastAsia="Arial Unicode MS" w:cs="Arial Unicode MS"/>
          <w:b w:val="0"/>
          <w:i w:val="0"/>
        </w:rPr>
        <w:t>契約書はマネーフォワードを使用する。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契約書には反社会的勢力排除条項を記載しているが、反社チェックの実査は未実施。</w:t>
      </w:r>
    </w:p>
    <w:p>
      <w:pPr>
        <w:pStyle w:val="ListBullet"/>
        <w:spacing w:before="0" w:after="160" w:line="280" w:lineRule="auto"/>
        <w:ind w:left="720" w:hanging="360"/>
      </w:pPr>
      <w:r>
        <w:rPr>
          <w:rFonts w:ascii="Arial Unicode MS" w:hAnsi="Arial Unicode MS" w:eastAsia="Arial Unicode MS" w:cs="Arial Unicode MS"/>
          <w:b w:val="0"/>
          <w:i w:val="0"/>
        </w:rPr>
        <w:t>10万円以上の外注は伊藤翔の事前承認とする。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外注管理規程（ドラフト）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外注管理規程（ドラフト）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