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職務権限規程（ドラフト）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会社名：株式会社MoMo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制定日：YYYY年MM月DD日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改定日：-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主管部署：管理部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承認機関：取締役会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第1章 総則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第1条（目的）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本規程は、株式会社MoMoにおける職務権限及び決裁権限を定め、業務執行における責任と権限を明確にし、適切な内部牽制を確保することを目的とする。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第2条（適用範囲）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会社の業務執行、申請、承認及び決裁に関する権限は、法令、定款その他別に定めるもののほか、本規程及び別表「決裁権限基準表」による。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第3条（基本方針）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業務執行は、職務分掌に基づき、担当者、確認者、承認者及び決裁者を分離することを原則とする。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牽制上必要な場合、申請者と承認者、発注者と検収者、支払依頼者と支払承認者は、可能な限り分離する。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現在の人員体制上分離が困難な場合であっても、管理部又は代表取締役社長による確認を行い、証跡を残す。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第2章 権限区分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第4条（権限の種類）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職務権限は、次の区分とする。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申請権限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確認権限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承認権限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決裁権限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報告権限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第5条（決裁者）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決裁者は、別表「決裁権限基準表」に従い、申請事項について最終判断を行う。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決裁権限基準表に定めのない事項又は判断が困難な事項は、代表取締役社長の決裁とする。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決裁権限基準表に定める金額基準は、消費税を含む総額を基準とする。ただし、継続取引、月額契約、分割発注その他実質的に一体の取引と認められる場合は、年間見込額又は契約期間総額を基準とする。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重要事項は、取締役会に付議する。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代表取締役社長は、伊藤翔とする。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第6条（代行）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決裁者が不在の場合、あらかじめ定めた代行者が決裁を代行することができる。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代行決裁を行った場合、代行者は、事後速やかに本来の決裁者へ報告する。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第3章 取締役会付議事項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第7条（取締役会付議）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次の事項は、取締役会に付議する。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経営方針、年度予算、中期経営計画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重要な組織変更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重要な規程の制定及び改廃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重要な契約、投資、借入、保証、資産取得又は処分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関連当事者取引、利益相反取引、競業取引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重要な人事及び役員報酬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重要な訴訟、紛争、事故、不祥事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その他法令、定款又は取締役会規程に定める事項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前項にかかわらず、緊急を要し取締役会の決議を事前に得ることが困難な場合は、代表取締役社長が必要な措置を行い、次回の取締役会に報告し、必要に応じて追認を受けるものとする。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第4章 決裁権限基準表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第8条（決裁権限基準表）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決裁権限の具体的基準は、別表「決裁権限基準表」に定める。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決裁権限基準表は、事業内容、組織体制及び内部管理体制の整備状況に応じて見直す。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第5章 管理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第9条（主管部署）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本規程及び決裁権限基準表の主管部署は、管理部とする。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第10条（例外処理）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本規程に定める権限によらない例外的な処理を行う場合は、事前に管理部へ相談し、代表取締役社長の承認を得る。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第11条（モニタリング）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管理部は、決裁権限の運用状況を定期的に確認し、権限逸脱、事後承認、証憑不足等がある場合は、必要な改善を行う。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第6章 改廃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第12条（改廃）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本規程の制定、改廃は、取締役会の決議による。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附則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本規程は、YYYY年MM月DD日から施行する。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別表：決裁権限基準表（初期たたき台）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top"/>
            <w:shd w:fill="F2F4F7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/>
                <w:i w:val="0"/>
                <w:sz w:val="18"/>
              </w:rPr>
              <w:t>項目</w:t>
            </w:r>
          </w:p>
        </w:tc>
        <w:tc>
          <w:tcPr>
            <w:tcW w:type="dxa" w:w="1872"/>
            <w:vAlign w:val="top"/>
            <w:shd w:fill="F2F4F7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/>
                <w:i w:val="0"/>
                <w:sz w:val="18"/>
              </w:rPr>
              <w:t>申請・起案</w:t>
            </w:r>
          </w:p>
        </w:tc>
        <w:tc>
          <w:tcPr>
            <w:tcW w:type="dxa" w:w="1872"/>
            <w:vAlign w:val="top"/>
            <w:shd w:fill="F2F4F7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/>
                <w:i w:val="0"/>
                <w:sz w:val="18"/>
              </w:rPr>
              <w:t>確認者</w:t>
            </w:r>
          </w:p>
        </w:tc>
        <w:tc>
          <w:tcPr>
            <w:tcW w:type="dxa" w:w="1872"/>
            <w:vAlign w:val="top"/>
            <w:shd w:fill="F2F4F7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/>
                <w:i w:val="0"/>
                <w:sz w:val="18"/>
              </w:rPr>
              <w:t>代表取締役社長決裁</w:t>
            </w:r>
          </w:p>
        </w:tc>
        <w:tc>
          <w:tcPr>
            <w:tcW w:type="dxa" w:w="1872"/>
            <w:vAlign w:val="top"/>
            <w:shd w:fill="F2F4F7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/>
                <w:i w:val="0"/>
                <w:sz w:val="18"/>
              </w:rPr>
              <w:t>取締役会決議・報告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経費精算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利用者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マネーフォワード上の承認ルートに従い確認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重要又は例外的な場合は報告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10万円未満の通常経費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管理部又は部門責任者が確認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必要に応じ伊藤翔が決裁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重要又は例外的な場合は報告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10万円以上50万円未満の支出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管理部が予算、必要性、証憑を確認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伊藤翔が事前承認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必要に応じ報告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50万円以上100万円未満の支出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管理部が予算、資金繰り、契約条件を確認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伊藤翔が事前承認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経営会議又は取締役会に報告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100万円以上の支出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管理部が予算、資金繰り、契約条件を確認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伊藤翔が事前確認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原則として取締役会決議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予算外支出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管理部が予算外理由と資金繰りを確認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10万円以上は伊藤翔が事前承認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50万円以上は経営会議又は取締役会に報告、100万円以上は原則決議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契約締結、変更、解除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塚原が契約内容を確認し、必要に応じ管理部が確認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伊藤翔が最終決裁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重要契約、長期契約、例外条件を含む契約は取締役会に付議又は報告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顧客向け見積、値引、返金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管理部又は営業責任者が確認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重要又は例外的な場合は伊藤翔が決裁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多額又は重要な場合は報告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発注・購買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管理部が取引先、金額、予算を確認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10万円以上は伊藤翔が事前承認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100万円以上又は重要な場合は取締役会に付議又は報告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外注・業務委託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管理部及び塚原が契約、成果物、情報管理を確認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10万円以上は伊藤翔が事前承認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100万円以上、重要開発、知財・個人情報に重要な影響がある場合は取締役会に付議又は報告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採用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管理部又は人事が条件、予算、雇用形態を確認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伊藤翔が決裁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役員、執行役員、重要人事は取締役会決議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給与、報酬、評価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管理部又は部門責任者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管理部又は人事が確認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伊藤翔が決裁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役員報酬、重要な報酬制度変更は取締役会決議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借入・資金調達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管理部が条件、資金繰り、返済計画を確認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伊藤翔が事前確認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原則として取締役会決議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支払・銀行振込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担当者又は管理部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伊藤翔及び柿塚が経理処理を確認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重要又は多額の場合は報告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口座開設、資金移動、金融機関取引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伊藤翔及び柿塚が経理処理を確認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重要又は多額の場合は取締役会に付議又は報告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固定資産、PC、システム、SaaSの取得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担当者又は部門責任者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管理部が予算、情報管理、資産計上要否を確認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10万円以上は伊藤翔が事前承認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100万円以上又は重要システムは取締役会に付議又は報告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関連当事者取引、利益相反取引、競業取引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担当者又は該当役職員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管理部が関連当事者該当性と取引条件を確認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伊藤翔が事前確認</w:t>
            </w:r>
          </w:p>
        </w:tc>
        <w:tc>
          <w:tcPr>
            <w:tcW w:type="dxa" w:w="1872"/>
            <w:vAlign w:val="top"/>
          </w:tcPr>
          <w:p>
            <w:pPr>
              <w:spacing w:before="0" w:after="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i w:val="0"/>
                <w:sz w:val="18"/>
              </w:rPr>
              <w:t>原則として取締役会決議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要確認事項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部門長、経理責任者の有無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代表取締役社長以外の決裁者を置くか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マネーフォワード上の承認者は伊藤翔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契約締結前の確認者は塚原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支払承認とインターネットバンキング権限は伊藤翔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現時点の前提メモ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現在、明確な稟議・決裁運用はない。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人員体制が限定的なため、初期は管理部確認及び代表取締役社長決裁を中心に設計する。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上場準備の進捗に合わせ、部門長承認、管理部確認、取締役会付議の線引きを細分化する。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経理実務は伊藤翔及び柿塚が担当する。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稟議及び承認の証跡は、当面はNotion、マネーフォワード、関連資料へのリンクにより管理する。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金額基準は、10万円以上を代表取締役承認、50万円以上を経営会議又は取締役会報告、100万円以上を原則取締役会決議とする。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/>
        <w:color w:val="5A5A5A"/>
        <w:sz w:val="18"/>
      </w:rPr>
      <w:t>職務権限規程（ドラフト）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職務権限規程（ドラフト）</dc:title>
  <dc:subject/>
  <dc:creator>株式会社MoMo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