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Unicode MS" w:hAnsi="Arial Unicode MS" w:eastAsia="Arial Unicode MS" w:cs="Arial Unicode MS"/>
          <w:b/>
          <w:color w:val="2E74B5"/>
          <w:sz w:val="36"/>
        </w:rPr>
        <w:t>販売管理規程（ドラフト）</w:t>
      </w:r>
    </w:p>
    <w:p>
      <w:pPr>
        <w:spacing w:before="0" w:after="120" w:line="264" w:lineRule="auto"/>
      </w:pPr>
      <w:r>
        <w:rPr>
          <w:rFonts w:ascii="Arial Unicode MS" w:hAnsi="Arial Unicode MS" w:eastAsia="Arial Unicode MS" w:cs="Arial Unicode MS"/>
          <w:b w:val="0"/>
          <w:i w:val="0"/>
        </w:rPr>
        <w:t>会社名：株式会社MoMo</w:t>
      </w:r>
    </w:p>
    <w:p>
      <w:pPr>
        <w:spacing w:before="0" w:after="120" w:line="264" w:lineRule="auto"/>
      </w:pPr>
      <w:r>
        <w:rPr>
          <w:rFonts w:ascii="Arial Unicode MS" w:hAnsi="Arial Unicode MS" w:eastAsia="Arial Unicode MS" w:cs="Arial Unicode MS"/>
          <w:b w:val="0"/>
          <w:i w:val="0"/>
        </w:rPr>
        <w:t>制定日：YYYY年MM月DD日</w:t>
      </w:r>
    </w:p>
    <w:p>
      <w:pPr>
        <w:spacing w:before="0" w:after="120" w:line="264" w:lineRule="auto"/>
      </w:pPr>
      <w:r>
        <w:rPr>
          <w:rFonts w:ascii="Arial Unicode MS" w:hAnsi="Arial Unicode MS" w:eastAsia="Arial Unicode MS" w:cs="Arial Unicode MS"/>
          <w:b w:val="0"/>
          <w:i w:val="0"/>
        </w:rPr>
        <w:t>改定日：-</w:t>
      </w:r>
    </w:p>
    <w:p>
      <w:pPr>
        <w:spacing w:before="0" w:after="120" w:line="264" w:lineRule="auto"/>
      </w:pPr>
      <w:r>
        <w:rPr>
          <w:rFonts w:ascii="Arial Unicode MS" w:hAnsi="Arial Unicode MS" w:eastAsia="Arial Unicode MS" w:cs="Arial Unicode MS"/>
          <w:b w:val="0"/>
          <w:i w:val="0"/>
        </w:rPr>
        <w:t>主管部署：管理部</w:t>
      </w:r>
    </w:p>
    <w:p>
      <w:pPr>
        <w:spacing w:before="0" w:after="120" w:line="264" w:lineRule="auto"/>
      </w:pPr>
      <w:r>
        <w:rPr>
          <w:rFonts w:ascii="Arial Unicode MS" w:hAnsi="Arial Unicode MS" w:eastAsia="Arial Unicode MS" w:cs="Arial Unicode MS"/>
          <w:b w:val="0"/>
          <w:i w:val="0"/>
        </w:rPr>
        <w:t>承認機関：取締役会</w:t>
      </w:r>
    </w:p>
    <w:p>
      <w:pPr>
        <w:pStyle w:val="Heading1"/>
      </w:pPr>
      <w:r>
        <w:rPr>
          <w:rFonts w:ascii="Arial Unicode MS" w:hAnsi="Arial Unicode MS" w:eastAsia="Arial Unicode MS" w:cs="Arial Unicode MS"/>
          <w:b w:val="0"/>
          <w:i w:val="0"/>
        </w:rPr>
        <w:t>第1章 総則</w:t>
      </w:r>
    </w:p>
    <w:p>
      <w:pPr>
        <w:pStyle w:val="Heading2"/>
      </w:pPr>
      <w:r>
        <w:rPr>
          <w:rFonts w:ascii="Arial Unicode MS" w:hAnsi="Arial Unicode MS" w:eastAsia="Arial Unicode MS" w:cs="Arial Unicode MS"/>
          <w:b w:val="0"/>
          <w:i w:val="0"/>
        </w:rPr>
        <w:t>第1条（目的）</w:t>
      </w:r>
    </w:p>
    <w:p>
      <w:pPr>
        <w:spacing w:before="0" w:after="120" w:line="264" w:lineRule="auto"/>
      </w:pPr>
      <w:r>
        <w:rPr>
          <w:rFonts w:ascii="Arial Unicode MS" w:hAnsi="Arial Unicode MS" w:eastAsia="Arial Unicode MS" w:cs="Arial Unicode MS"/>
          <w:b w:val="0"/>
          <w:i w:val="0"/>
        </w:rPr>
        <w:t>本規程は、株式会社MoMoにおける販売活動、見積、契約、受注、請求、回収、取引先管理及び販売実績管理に関する基本事項を定め、販売取引の適正性及び収益管理の正確性を確保することを目的とする。</w:t>
      </w:r>
    </w:p>
    <w:p>
      <w:pPr>
        <w:pStyle w:val="Heading2"/>
      </w:pPr>
      <w:r>
        <w:rPr>
          <w:rFonts w:ascii="Arial Unicode MS" w:hAnsi="Arial Unicode MS" w:eastAsia="Arial Unicode MS" w:cs="Arial Unicode MS"/>
          <w:b w:val="0"/>
          <w:i w:val="0"/>
        </w:rPr>
        <w:t>第2条（適用範囲）</w:t>
      </w:r>
    </w:p>
    <w:p>
      <w:pPr>
        <w:spacing w:before="0" w:after="120" w:line="264" w:lineRule="auto"/>
      </w:pPr>
      <w:r>
        <w:rPr>
          <w:rFonts w:ascii="Arial Unicode MS" w:hAnsi="Arial Unicode MS" w:eastAsia="Arial Unicode MS" w:cs="Arial Unicode MS"/>
          <w:b w:val="0"/>
          <w:i w:val="0"/>
        </w:rPr>
        <w:t>会社の販売取引に関する事項は、法令、定款、職務権限規程、稟議規程、経理規程その他別に定めるもののほか、本規程による。</w:t>
      </w:r>
    </w:p>
    <w:p>
      <w:pPr>
        <w:pStyle w:val="Heading2"/>
      </w:pPr>
      <w:r>
        <w:rPr>
          <w:rFonts w:ascii="Arial Unicode MS" w:hAnsi="Arial Unicode MS" w:eastAsia="Arial Unicode MS" w:cs="Arial Unicode MS"/>
          <w:b w:val="0"/>
          <w:i w:val="0"/>
        </w:rPr>
        <w:t>第3条（基本方針）</w:t>
      </w:r>
    </w:p>
    <w:p>
      <w:pPr>
        <w:spacing w:before="0" w:after="120" w:line="264" w:lineRule="auto"/>
      </w:pPr>
      <w:r>
        <w:rPr>
          <w:rFonts w:ascii="Arial Unicode MS" w:hAnsi="Arial Unicode MS" w:eastAsia="Arial Unicode MS" w:cs="Arial Unicode MS"/>
          <w:b w:val="0"/>
          <w:i w:val="0"/>
        </w:rPr>
        <w:t>販売取引は、取引内容、金額、契約条件、提供内容、請求条件、回収条件及びリスクを明確にしたうえで実施する。</w:t>
      </w:r>
    </w:p>
    <w:p>
      <w:pPr>
        <w:pStyle w:val="ListNumber"/>
        <w:spacing w:before="0" w:after="160" w:line="280" w:lineRule="auto"/>
        <w:ind w:left="720" w:hanging="360"/>
      </w:pPr>
      <w:r>
        <w:rPr>
          <w:rFonts w:ascii="Arial Unicode MS" w:hAnsi="Arial Unicode MS" w:eastAsia="Arial Unicode MS" w:cs="Arial Unicode MS"/>
          <w:b w:val="0"/>
          <w:i w:val="0"/>
        </w:rPr>
        <w:t>販売取引に関する証憑及び承認履歴は、事後確認ができるよう保存する。</w:t>
      </w:r>
    </w:p>
    <w:p>
      <w:pPr>
        <w:pStyle w:val="Heading1"/>
      </w:pPr>
      <w:r>
        <w:rPr>
          <w:rFonts w:ascii="Arial Unicode MS" w:hAnsi="Arial Unicode MS" w:eastAsia="Arial Unicode MS" w:cs="Arial Unicode MS"/>
          <w:b w:val="0"/>
          <w:i w:val="0"/>
        </w:rPr>
        <w:t>第2章 管理体制</w:t>
      </w:r>
    </w:p>
    <w:p>
      <w:pPr>
        <w:pStyle w:val="Heading2"/>
      </w:pPr>
      <w:r>
        <w:rPr>
          <w:rFonts w:ascii="Arial Unicode MS" w:hAnsi="Arial Unicode MS" w:eastAsia="Arial Unicode MS" w:cs="Arial Unicode MS"/>
          <w:b w:val="0"/>
          <w:i w:val="0"/>
        </w:rPr>
        <w:t>第4条（主管部署）</w:t>
      </w:r>
    </w:p>
    <w:p>
      <w:pPr>
        <w:spacing w:before="0" w:after="120" w:line="264" w:lineRule="auto"/>
      </w:pPr>
      <w:r>
        <w:rPr>
          <w:rFonts w:ascii="Arial Unicode MS" w:hAnsi="Arial Unicode MS" w:eastAsia="Arial Unicode MS" w:cs="Arial Unicode MS"/>
          <w:b w:val="0"/>
          <w:i w:val="0"/>
        </w:rPr>
        <w:t>販売管理の主管部署は、営業部及び管理部とする。</w:t>
      </w:r>
    </w:p>
    <w:p>
      <w:pPr>
        <w:pStyle w:val="ListNumber"/>
        <w:spacing w:before="0" w:after="160" w:line="280" w:lineRule="auto"/>
        <w:ind w:left="720" w:hanging="360"/>
      </w:pPr>
      <w:r>
        <w:rPr>
          <w:rFonts w:ascii="Arial Unicode MS" w:hAnsi="Arial Unicode MS" w:eastAsia="Arial Unicode MS" w:cs="Arial Unicode MS"/>
          <w:b w:val="0"/>
          <w:i w:val="0"/>
        </w:rPr>
        <w:t>営業部は、顧客開拓、商談、提案、見積、受注、顧客対応及び回収状況の確認を担当する。</w:t>
      </w:r>
    </w:p>
    <w:p>
      <w:pPr>
        <w:pStyle w:val="ListNumber"/>
        <w:spacing w:before="0" w:after="160" w:line="280" w:lineRule="auto"/>
        <w:ind w:left="720" w:hanging="360"/>
      </w:pPr>
      <w:r>
        <w:rPr>
          <w:rFonts w:ascii="Arial Unicode MS" w:hAnsi="Arial Unicode MS" w:eastAsia="Arial Unicode MS" w:cs="Arial Unicode MS"/>
          <w:b w:val="0"/>
          <w:i w:val="0"/>
        </w:rPr>
        <w:t>管理部は、契約、請求、入金、会計処理、取引先情報及び証憑の管理を担当する。</w:t>
      </w:r>
    </w:p>
    <w:p>
      <w:pPr>
        <w:pStyle w:val="Heading2"/>
      </w:pPr>
      <w:r>
        <w:rPr>
          <w:rFonts w:ascii="Arial Unicode MS" w:hAnsi="Arial Unicode MS" w:eastAsia="Arial Unicode MS" w:cs="Arial Unicode MS"/>
          <w:b w:val="0"/>
          <w:i w:val="0"/>
        </w:rPr>
        <w:t>第5条（取引先管理）</w:t>
      </w:r>
    </w:p>
    <w:p>
      <w:pPr>
        <w:spacing w:before="0" w:after="120" w:line="264" w:lineRule="auto"/>
      </w:pPr>
      <w:r>
        <w:rPr>
          <w:rFonts w:ascii="Arial Unicode MS" w:hAnsi="Arial Unicode MS" w:eastAsia="Arial Unicode MS" w:cs="Arial Unicode MS"/>
          <w:b w:val="0"/>
          <w:i w:val="0"/>
        </w:rPr>
        <w:t>取引先情報は、原則としてNotionで管理する。</w:t>
      </w:r>
    </w:p>
    <w:p>
      <w:pPr>
        <w:pStyle w:val="ListNumber"/>
        <w:spacing w:before="0" w:after="160" w:line="280" w:lineRule="auto"/>
        <w:ind w:left="720" w:hanging="360"/>
      </w:pPr>
      <w:r>
        <w:rPr>
          <w:rFonts w:ascii="Arial Unicode MS" w:hAnsi="Arial Unicode MS" w:eastAsia="Arial Unicode MS" w:cs="Arial Unicode MS"/>
          <w:b w:val="0"/>
          <w:i w:val="0"/>
        </w:rPr>
        <w:t>取引先情報には、会社名、担当者、連絡先、取引内容、契約状況、請求先、入金状況、反社チェック状況その他必要な情報を記録する。</w:t>
      </w:r>
    </w:p>
    <w:p>
      <w:pPr>
        <w:pStyle w:val="Heading1"/>
      </w:pPr>
      <w:r>
        <w:rPr>
          <w:rFonts w:ascii="Arial Unicode MS" w:hAnsi="Arial Unicode MS" w:eastAsia="Arial Unicode MS" w:cs="Arial Unicode MS"/>
          <w:b w:val="0"/>
          <w:i w:val="0"/>
        </w:rPr>
        <w:t>第3章 新規取引</w:t>
      </w:r>
    </w:p>
    <w:p>
      <w:pPr>
        <w:pStyle w:val="Heading2"/>
      </w:pPr>
      <w:r>
        <w:rPr>
          <w:rFonts w:ascii="Arial Unicode MS" w:hAnsi="Arial Unicode MS" w:eastAsia="Arial Unicode MS" w:cs="Arial Unicode MS"/>
          <w:b w:val="0"/>
          <w:i w:val="0"/>
        </w:rPr>
        <w:t>第6条（新規取引先の確認）</w:t>
      </w:r>
    </w:p>
    <w:p>
      <w:pPr>
        <w:spacing w:before="0" w:after="120" w:line="264" w:lineRule="auto"/>
      </w:pPr>
      <w:r>
        <w:rPr>
          <w:rFonts w:ascii="Arial Unicode MS" w:hAnsi="Arial Unicode MS" w:eastAsia="Arial Unicode MS" w:cs="Arial Unicode MS"/>
          <w:b w:val="0"/>
          <w:i w:val="0"/>
        </w:rPr>
        <w:t>新規取引を開始する場合、担当部門は、取引先の基本情報、取引内容、契約条件、請求条件及び回収条件を確認する。</w:t>
      </w:r>
    </w:p>
    <w:p>
      <w:pPr>
        <w:pStyle w:val="Heading2"/>
      </w:pPr>
      <w:r>
        <w:rPr>
          <w:rFonts w:ascii="Arial Unicode MS" w:hAnsi="Arial Unicode MS" w:eastAsia="Arial Unicode MS" w:cs="Arial Unicode MS"/>
          <w:b w:val="0"/>
          <w:i w:val="0"/>
        </w:rPr>
        <w:t>第7条（反社会的勢力の確認）</w:t>
      </w:r>
    </w:p>
    <w:p>
      <w:pPr>
        <w:spacing w:before="0" w:after="120" w:line="264" w:lineRule="auto"/>
      </w:pPr>
      <w:r>
        <w:rPr>
          <w:rFonts w:ascii="Arial Unicode MS" w:hAnsi="Arial Unicode MS" w:eastAsia="Arial Unicode MS" w:cs="Arial Unicode MS"/>
          <w:b w:val="0"/>
          <w:i w:val="0"/>
        </w:rPr>
        <w:t>新規取引先については、契約締結前に反社会的勢力との関係がないことを確認する。</w:t>
      </w:r>
    </w:p>
    <w:p>
      <w:pPr>
        <w:pStyle w:val="ListNumber"/>
        <w:spacing w:before="0" w:after="160" w:line="280" w:lineRule="auto"/>
        <w:ind w:left="720" w:hanging="360"/>
      </w:pPr>
      <w:r>
        <w:rPr>
          <w:rFonts w:ascii="Arial Unicode MS" w:hAnsi="Arial Unicode MS" w:eastAsia="Arial Unicode MS" w:cs="Arial Unicode MS"/>
          <w:b w:val="0"/>
          <w:i w:val="0"/>
        </w:rPr>
        <w:t>現時点では契約書に反社会的勢力排除条項を記載しているが、反社チェックの実査は未実施であるため、新規取引先から段階的に確認手続を導入する。</w:t>
      </w:r>
    </w:p>
    <w:p>
      <w:pPr>
        <w:pStyle w:val="ListNumber"/>
        <w:spacing w:before="0" w:after="160" w:line="280" w:lineRule="auto"/>
        <w:ind w:left="720" w:hanging="360"/>
      </w:pPr>
      <w:r>
        <w:rPr>
          <w:rFonts w:ascii="Arial Unicode MS" w:hAnsi="Arial Unicode MS" w:eastAsia="Arial Unicode MS" w:cs="Arial Unicode MS"/>
          <w:b w:val="0"/>
          <w:i w:val="0"/>
        </w:rPr>
        <w:t>反社チェックの具体的方法は、反社会的勢力対応規程又は別に定める手続による。</w:t>
      </w:r>
    </w:p>
    <w:p>
      <w:pPr>
        <w:pStyle w:val="Heading2"/>
      </w:pPr>
      <w:r>
        <w:rPr>
          <w:rFonts w:ascii="Arial Unicode MS" w:hAnsi="Arial Unicode MS" w:eastAsia="Arial Unicode MS" w:cs="Arial Unicode MS"/>
          <w:b w:val="0"/>
          <w:i w:val="0"/>
        </w:rPr>
        <w:t>第8条（与信確認）</w:t>
      </w:r>
    </w:p>
    <w:p>
      <w:pPr>
        <w:spacing w:before="0" w:after="120" w:line="264" w:lineRule="auto"/>
      </w:pPr>
      <w:r>
        <w:rPr>
          <w:rFonts w:ascii="Arial Unicode MS" w:hAnsi="Arial Unicode MS" w:eastAsia="Arial Unicode MS" w:cs="Arial Unicode MS"/>
          <w:b w:val="0"/>
          <w:i w:val="0"/>
        </w:rPr>
        <w:t>掛取引、後払い、継続取引その他回収リスクがある取引を開始する場合、担当部門は、必要に応じて与信確認を行う。</w:t>
      </w:r>
    </w:p>
    <w:p>
      <w:pPr>
        <w:pStyle w:val="ListNumber"/>
        <w:spacing w:before="0" w:after="160" w:line="280" w:lineRule="auto"/>
        <w:ind w:left="720" w:hanging="360"/>
      </w:pPr>
      <w:r>
        <w:rPr>
          <w:rFonts w:ascii="Arial Unicode MS" w:hAnsi="Arial Unicode MS" w:eastAsia="Arial Unicode MS" w:cs="Arial Unicode MS"/>
          <w:b w:val="0"/>
          <w:i w:val="0"/>
        </w:rPr>
        <w:t>与信確認の具体的方法及び基準は、与信管理規程又は別に定める手続による。</w:t>
      </w:r>
    </w:p>
    <w:p>
      <w:pPr>
        <w:pStyle w:val="Heading1"/>
      </w:pPr>
      <w:r>
        <w:rPr>
          <w:rFonts w:ascii="Arial Unicode MS" w:hAnsi="Arial Unicode MS" w:eastAsia="Arial Unicode MS" w:cs="Arial Unicode MS"/>
          <w:b w:val="0"/>
          <w:i w:val="0"/>
        </w:rPr>
        <w:t>第4章 見積及び契約</w:t>
      </w:r>
    </w:p>
    <w:p>
      <w:pPr>
        <w:pStyle w:val="Heading2"/>
      </w:pPr>
      <w:r>
        <w:rPr>
          <w:rFonts w:ascii="Arial Unicode MS" w:hAnsi="Arial Unicode MS" w:eastAsia="Arial Unicode MS" w:cs="Arial Unicode MS"/>
          <w:b w:val="0"/>
          <w:i w:val="0"/>
        </w:rPr>
        <w:t>第9条（見積）</w:t>
      </w:r>
    </w:p>
    <w:p>
      <w:pPr>
        <w:spacing w:before="0" w:after="120" w:line="264" w:lineRule="auto"/>
      </w:pPr>
      <w:r>
        <w:rPr>
          <w:rFonts w:ascii="Arial Unicode MS" w:hAnsi="Arial Unicode MS" w:eastAsia="Arial Unicode MS" w:cs="Arial Unicode MS"/>
          <w:b w:val="0"/>
          <w:i w:val="0"/>
        </w:rPr>
        <w:t>見積書は、原則としてマネーフォワードを使用して作成する。</w:t>
      </w:r>
    </w:p>
    <w:p>
      <w:pPr>
        <w:pStyle w:val="ListNumber"/>
        <w:spacing w:before="0" w:after="160" w:line="280" w:lineRule="auto"/>
        <w:ind w:left="720" w:hanging="360"/>
      </w:pPr>
      <w:r>
        <w:rPr>
          <w:rFonts w:ascii="Arial Unicode MS" w:hAnsi="Arial Unicode MS" w:eastAsia="Arial Unicode MS" w:cs="Arial Unicode MS"/>
          <w:b w:val="0"/>
          <w:i w:val="0"/>
        </w:rPr>
        <w:t>見積書には、提供内容、金額、税区分、支払条件、有効期限、納期又は提供期間その他必要な条件を明記する。</w:t>
      </w:r>
    </w:p>
    <w:p>
      <w:pPr>
        <w:pStyle w:val="Heading2"/>
      </w:pPr>
      <w:r>
        <w:rPr>
          <w:rFonts w:ascii="Arial Unicode MS" w:hAnsi="Arial Unicode MS" w:eastAsia="Arial Unicode MS" w:cs="Arial Unicode MS"/>
          <w:b w:val="0"/>
          <w:i w:val="0"/>
        </w:rPr>
        <w:t>第10条（契約）</w:t>
      </w:r>
    </w:p>
    <w:p>
      <w:pPr>
        <w:spacing w:before="0" w:after="120" w:line="264" w:lineRule="auto"/>
      </w:pPr>
      <w:r>
        <w:rPr>
          <w:rFonts w:ascii="Arial Unicode MS" w:hAnsi="Arial Unicode MS" w:eastAsia="Arial Unicode MS" w:cs="Arial Unicode MS"/>
          <w:b w:val="0"/>
          <w:i w:val="0"/>
        </w:rPr>
        <w:t>契約書は、原則としてマネーフォワードを使用して作成又は管理する。</w:t>
      </w:r>
    </w:p>
    <w:p>
      <w:pPr>
        <w:pStyle w:val="ListNumber"/>
        <w:spacing w:before="0" w:after="160" w:line="280" w:lineRule="auto"/>
        <w:ind w:left="720" w:hanging="360"/>
      </w:pPr>
      <w:r>
        <w:rPr>
          <w:rFonts w:ascii="Arial Unicode MS" w:hAnsi="Arial Unicode MS" w:eastAsia="Arial Unicode MS" w:cs="Arial Unicode MS"/>
          <w:b w:val="0"/>
          <w:i w:val="0"/>
        </w:rPr>
        <w:t>契約締結にあたっては、塚原が契約内容を確認し、代表取締役社長が最終押印又は電子署名を行う。</w:t>
      </w:r>
    </w:p>
    <w:p>
      <w:pPr>
        <w:pStyle w:val="ListNumber"/>
        <w:spacing w:before="0" w:after="160" w:line="280" w:lineRule="auto"/>
        <w:ind w:left="720" w:hanging="360"/>
      </w:pPr>
      <w:r>
        <w:rPr>
          <w:rFonts w:ascii="Arial Unicode MS" w:hAnsi="Arial Unicode MS" w:eastAsia="Arial Unicode MS" w:cs="Arial Unicode MS"/>
          <w:b w:val="0"/>
          <w:i w:val="0"/>
        </w:rPr>
        <w:t>重要な契約、10万円以上の取引、予算外取引、通常と異なる条件を含む契約その他リスクがある契約は、稟議規程に基づき事前承認を得る。</w:t>
      </w:r>
    </w:p>
    <w:p>
      <w:pPr>
        <w:pStyle w:val="Heading2"/>
      </w:pPr>
      <w:r>
        <w:rPr>
          <w:rFonts w:ascii="Arial Unicode MS" w:hAnsi="Arial Unicode MS" w:eastAsia="Arial Unicode MS" w:cs="Arial Unicode MS"/>
          <w:b w:val="0"/>
          <w:i w:val="0"/>
        </w:rPr>
        <w:t>第11条（受注）</w:t>
      </w:r>
    </w:p>
    <w:p>
      <w:pPr>
        <w:spacing w:before="0" w:after="120" w:line="264" w:lineRule="auto"/>
      </w:pPr>
      <w:r>
        <w:rPr>
          <w:rFonts w:ascii="Arial Unicode MS" w:hAnsi="Arial Unicode MS" w:eastAsia="Arial Unicode MS" w:cs="Arial Unicode MS"/>
          <w:b w:val="0"/>
          <w:i w:val="0"/>
        </w:rPr>
        <w:t>受注は、契約書、発注書、申込書、電子的な合意記録その他受注事実を確認できる証憑に基づき確定する。</w:t>
      </w:r>
    </w:p>
    <w:p>
      <w:pPr>
        <w:pStyle w:val="ListNumber"/>
        <w:spacing w:before="0" w:after="160" w:line="280" w:lineRule="auto"/>
        <w:ind w:left="720" w:hanging="360"/>
      </w:pPr>
      <w:r>
        <w:rPr>
          <w:rFonts w:ascii="Arial Unicode MS" w:hAnsi="Arial Unicode MS" w:eastAsia="Arial Unicode MS" w:cs="Arial Unicode MS"/>
          <w:b w:val="0"/>
          <w:i w:val="0"/>
        </w:rPr>
        <w:t>担当部門は、受注内容をNotion、事業別管理資料又は会社が指定する管理資料に記録する。</w:t>
      </w:r>
    </w:p>
    <w:p>
      <w:pPr>
        <w:pStyle w:val="Heading1"/>
      </w:pPr>
      <w:r>
        <w:rPr>
          <w:rFonts w:ascii="Arial Unicode MS" w:hAnsi="Arial Unicode MS" w:eastAsia="Arial Unicode MS" w:cs="Arial Unicode MS"/>
          <w:b w:val="0"/>
          <w:i w:val="0"/>
        </w:rPr>
        <w:t>第5章 請求及び回収</w:t>
      </w:r>
    </w:p>
    <w:p>
      <w:pPr>
        <w:pStyle w:val="Heading2"/>
      </w:pPr>
      <w:r>
        <w:rPr>
          <w:rFonts w:ascii="Arial Unicode MS" w:hAnsi="Arial Unicode MS" w:eastAsia="Arial Unicode MS" w:cs="Arial Unicode MS"/>
          <w:b w:val="0"/>
          <w:i w:val="0"/>
        </w:rPr>
        <w:t>第12条（請求）</w:t>
      </w:r>
    </w:p>
    <w:p>
      <w:pPr>
        <w:spacing w:before="0" w:after="120" w:line="264" w:lineRule="auto"/>
      </w:pPr>
      <w:r>
        <w:rPr>
          <w:rFonts w:ascii="Arial Unicode MS" w:hAnsi="Arial Unicode MS" w:eastAsia="Arial Unicode MS" w:cs="Arial Unicode MS"/>
          <w:b w:val="0"/>
          <w:i w:val="0"/>
        </w:rPr>
        <w:t>請求書は、原則としてマネーフォワードを使用して発行する。</w:t>
      </w:r>
    </w:p>
    <w:p>
      <w:pPr>
        <w:pStyle w:val="ListNumber"/>
        <w:spacing w:before="0" w:after="160" w:line="280" w:lineRule="auto"/>
        <w:ind w:left="720" w:hanging="360"/>
      </w:pPr>
      <w:r>
        <w:rPr>
          <w:rFonts w:ascii="Arial Unicode MS" w:hAnsi="Arial Unicode MS" w:eastAsia="Arial Unicode MS" w:cs="Arial Unicode MS"/>
          <w:b w:val="0"/>
          <w:i w:val="0"/>
        </w:rPr>
        <w:t>請求書の発行にあたっては、契約内容、納品又は役務提供状況、請求金額、請求先、支払期日を確認する。</w:t>
      </w:r>
    </w:p>
    <w:p>
      <w:pPr>
        <w:pStyle w:val="Heading2"/>
      </w:pPr>
      <w:r>
        <w:rPr>
          <w:rFonts w:ascii="Arial Unicode MS" w:hAnsi="Arial Unicode MS" w:eastAsia="Arial Unicode MS" w:cs="Arial Unicode MS"/>
          <w:b w:val="0"/>
          <w:i w:val="0"/>
        </w:rPr>
        <w:t>第13条（入金確認）</w:t>
      </w:r>
    </w:p>
    <w:p>
      <w:pPr>
        <w:spacing w:before="0" w:after="120" w:line="264" w:lineRule="auto"/>
      </w:pPr>
      <w:r>
        <w:rPr>
          <w:rFonts w:ascii="Arial Unicode MS" w:hAnsi="Arial Unicode MS" w:eastAsia="Arial Unicode MS" w:cs="Arial Unicode MS"/>
          <w:b w:val="0"/>
          <w:i w:val="0"/>
        </w:rPr>
        <w:t>管理部は、銀行明細、請求情報、売掛金情報その他必要な資料に基づき、入金状況を確認する。</w:t>
      </w:r>
    </w:p>
    <w:p>
      <w:pPr>
        <w:pStyle w:val="Heading2"/>
      </w:pPr>
      <w:r>
        <w:rPr>
          <w:rFonts w:ascii="Arial Unicode MS" w:hAnsi="Arial Unicode MS" w:eastAsia="Arial Unicode MS" w:cs="Arial Unicode MS"/>
          <w:b w:val="0"/>
          <w:i w:val="0"/>
        </w:rPr>
        <w:t>第14条（未入金対応）</w:t>
      </w:r>
    </w:p>
    <w:p>
      <w:pPr>
        <w:spacing w:before="0" w:after="120" w:line="264" w:lineRule="auto"/>
      </w:pPr>
      <w:r>
        <w:rPr>
          <w:rFonts w:ascii="Arial Unicode MS" w:hAnsi="Arial Unicode MS" w:eastAsia="Arial Unicode MS" w:cs="Arial Unicode MS"/>
          <w:b w:val="0"/>
          <w:i w:val="0"/>
        </w:rPr>
        <w:t>入金予定日を経過しても入金が確認できない場合、担当部門は管理部と連携し、取引先へ状況確認を行う。</w:t>
      </w:r>
    </w:p>
    <w:p>
      <w:pPr>
        <w:pStyle w:val="ListNumber"/>
        <w:spacing w:before="0" w:after="160" w:line="280" w:lineRule="auto"/>
        <w:ind w:left="720" w:hanging="360"/>
      </w:pPr>
      <w:r>
        <w:rPr>
          <w:rFonts w:ascii="Arial Unicode MS" w:hAnsi="Arial Unicode MS" w:eastAsia="Arial Unicode MS" w:cs="Arial Unicode MS"/>
          <w:b w:val="0"/>
          <w:i w:val="0"/>
        </w:rPr>
        <w:t>重要な未入金又は回収懸念がある場合は、経営会議に報告する。</w:t>
      </w:r>
    </w:p>
    <w:p>
      <w:pPr>
        <w:pStyle w:val="Heading1"/>
      </w:pPr>
      <w:r>
        <w:rPr>
          <w:rFonts w:ascii="Arial Unicode MS" w:hAnsi="Arial Unicode MS" w:eastAsia="Arial Unicode MS" w:cs="Arial Unicode MS"/>
          <w:b w:val="0"/>
          <w:i w:val="0"/>
        </w:rPr>
        <w:t>第6章 売上及び実績管理</w:t>
      </w:r>
    </w:p>
    <w:p>
      <w:pPr>
        <w:pStyle w:val="Heading2"/>
      </w:pPr>
      <w:r>
        <w:rPr>
          <w:rFonts w:ascii="Arial Unicode MS" w:hAnsi="Arial Unicode MS" w:eastAsia="Arial Unicode MS" w:cs="Arial Unicode MS"/>
          <w:b w:val="0"/>
          <w:i w:val="0"/>
        </w:rPr>
        <w:t>第15条（売上計上）</w:t>
      </w:r>
    </w:p>
    <w:p>
      <w:pPr>
        <w:spacing w:before="0" w:after="120" w:line="264" w:lineRule="auto"/>
      </w:pPr>
      <w:r>
        <w:rPr>
          <w:rFonts w:ascii="Arial Unicode MS" w:hAnsi="Arial Unicode MS" w:eastAsia="Arial Unicode MS" w:cs="Arial Unicode MS"/>
          <w:b w:val="0"/>
          <w:i w:val="0"/>
        </w:rPr>
        <w:t>売上計上は、経理規程に従い、契約内容、納品、役務提供、検収、請求その他取引実態を確認したうえで行う。</w:t>
      </w:r>
    </w:p>
    <w:p>
      <w:pPr>
        <w:pStyle w:val="Heading2"/>
      </w:pPr>
      <w:r>
        <w:rPr>
          <w:rFonts w:ascii="Arial Unicode MS" w:hAnsi="Arial Unicode MS" w:eastAsia="Arial Unicode MS" w:cs="Arial Unicode MS"/>
          <w:b w:val="0"/>
          <w:i w:val="0"/>
        </w:rPr>
        <w:t>第16条（販売実績管理）</w:t>
      </w:r>
    </w:p>
    <w:p>
      <w:pPr>
        <w:spacing w:before="0" w:after="120" w:line="264" w:lineRule="auto"/>
      </w:pPr>
      <w:r>
        <w:rPr>
          <w:rFonts w:ascii="Arial Unicode MS" w:hAnsi="Arial Unicode MS" w:eastAsia="Arial Unicode MS" w:cs="Arial Unicode MS"/>
          <w:b w:val="0"/>
          <w:i w:val="0"/>
        </w:rPr>
        <w:t>担当部門は、販売実績、案件状況、営業KPI及び重要な商談状況を、事業別管理資料又はNotionに記録する。</w:t>
      </w:r>
    </w:p>
    <w:p>
      <w:pPr>
        <w:pStyle w:val="ListNumber"/>
        <w:spacing w:before="0" w:after="160" w:line="280" w:lineRule="auto"/>
        <w:ind w:left="720" w:hanging="360"/>
      </w:pPr>
      <w:r>
        <w:rPr>
          <w:rFonts w:ascii="Arial Unicode MS" w:hAnsi="Arial Unicode MS" w:eastAsia="Arial Unicode MS" w:cs="Arial Unicode MS"/>
          <w:b w:val="0"/>
          <w:i w:val="0"/>
        </w:rPr>
        <w:t>管理部は、販売実績を月次決算及び予実管理に反映する。</w:t>
      </w:r>
    </w:p>
    <w:p>
      <w:pPr>
        <w:pStyle w:val="Heading1"/>
      </w:pPr>
      <w:r>
        <w:rPr>
          <w:rFonts w:ascii="Arial Unicode MS" w:hAnsi="Arial Unicode MS" w:eastAsia="Arial Unicode MS" w:cs="Arial Unicode MS"/>
          <w:b w:val="0"/>
          <w:i w:val="0"/>
        </w:rPr>
        <w:t>第7章 保存及び報告</w:t>
      </w:r>
    </w:p>
    <w:p>
      <w:pPr>
        <w:pStyle w:val="Heading2"/>
      </w:pPr>
      <w:r>
        <w:rPr>
          <w:rFonts w:ascii="Arial Unicode MS" w:hAnsi="Arial Unicode MS" w:eastAsia="Arial Unicode MS" w:cs="Arial Unicode MS"/>
          <w:b w:val="0"/>
          <w:i w:val="0"/>
        </w:rPr>
        <w:t>第17条（資料保存）</w:t>
      </w:r>
    </w:p>
    <w:p>
      <w:pPr>
        <w:spacing w:before="0" w:after="120" w:line="264" w:lineRule="auto"/>
      </w:pPr>
      <w:r>
        <w:rPr>
          <w:rFonts w:ascii="Arial Unicode MS" w:hAnsi="Arial Unicode MS" w:eastAsia="Arial Unicode MS" w:cs="Arial Unicode MS"/>
          <w:b w:val="0"/>
          <w:i w:val="0"/>
        </w:rPr>
        <w:t>見積書、契約書、発注書、申込書、請求書、入金記録、取引先情報その他販売取引に関する資料は、管理部又は担当部門が保存管理する。</w:t>
      </w:r>
    </w:p>
    <w:p>
      <w:pPr>
        <w:pStyle w:val="Heading2"/>
      </w:pPr>
      <w:r>
        <w:rPr>
          <w:rFonts w:ascii="Arial Unicode MS" w:hAnsi="Arial Unicode MS" w:eastAsia="Arial Unicode MS" w:cs="Arial Unicode MS"/>
          <w:b w:val="0"/>
          <w:i w:val="0"/>
        </w:rPr>
        <w:t>第18条（報告）</w:t>
      </w:r>
    </w:p>
    <w:p>
      <w:pPr>
        <w:spacing w:before="0" w:after="120" w:line="264" w:lineRule="auto"/>
      </w:pPr>
      <w:r>
        <w:rPr>
          <w:rFonts w:ascii="Arial Unicode MS" w:hAnsi="Arial Unicode MS" w:eastAsia="Arial Unicode MS" w:cs="Arial Unicode MS"/>
          <w:b w:val="0"/>
          <w:i w:val="0"/>
        </w:rPr>
        <w:t>担当部門は、売上見込、受注状況、請求状況、入金状況、重要な未入金、クレームその他重要事項を経営会議に報告する。</w:t>
      </w:r>
    </w:p>
    <w:p>
      <w:pPr>
        <w:pStyle w:val="Heading1"/>
      </w:pPr>
      <w:r>
        <w:rPr>
          <w:rFonts w:ascii="Arial Unicode MS" w:hAnsi="Arial Unicode MS" w:eastAsia="Arial Unicode MS" w:cs="Arial Unicode MS"/>
          <w:b w:val="0"/>
          <w:i w:val="0"/>
        </w:rPr>
        <w:t>第8章 改廃</w:t>
      </w:r>
    </w:p>
    <w:p>
      <w:pPr>
        <w:pStyle w:val="Heading2"/>
      </w:pPr>
      <w:r>
        <w:rPr>
          <w:rFonts w:ascii="Arial Unicode MS" w:hAnsi="Arial Unicode MS" w:eastAsia="Arial Unicode MS" w:cs="Arial Unicode MS"/>
          <w:b w:val="0"/>
          <w:i w:val="0"/>
        </w:rPr>
        <w:t>第19条（改廃）</w:t>
      </w:r>
    </w:p>
    <w:p>
      <w:pPr>
        <w:spacing w:before="0" w:after="120" w:line="264" w:lineRule="auto"/>
      </w:pPr>
      <w:r>
        <w:rPr>
          <w:rFonts w:ascii="Arial Unicode MS" w:hAnsi="Arial Unicode MS" w:eastAsia="Arial Unicode MS" w:cs="Arial Unicode MS"/>
          <w:b w:val="0"/>
          <w:i w:val="0"/>
        </w:rPr>
        <w:t>本規程の制定、改廃は、取締役会の決議による。</w:t>
      </w:r>
    </w:p>
    <w:p>
      <w:pPr>
        <w:pStyle w:val="Heading1"/>
      </w:pPr>
      <w:r>
        <w:rPr>
          <w:rFonts w:ascii="Arial Unicode MS" w:hAnsi="Arial Unicode MS" w:eastAsia="Arial Unicode MS" w:cs="Arial Unicode MS"/>
          <w:b w:val="0"/>
          <w:i w:val="0"/>
        </w:rPr>
        <w:t>附則</w:t>
      </w:r>
    </w:p>
    <w:p>
      <w:pPr>
        <w:spacing w:before="0" w:after="120" w:line="264" w:lineRule="auto"/>
      </w:pPr>
      <w:r>
        <w:rPr>
          <w:rFonts w:ascii="Arial Unicode MS" w:hAnsi="Arial Unicode MS" w:eastAsia="Arial Unicode MS" w:cs="Arial Unicode MS"/>
          <w:b w:val="0"/>
          <w:i w:val="0"/>
        </w:rPr>
        <w:t>本規程は、YYYY年MM月DD日から施行する。</w:t>
      </w:r>
    </w:p>
    <w:p>
      <w:pPr>
        <w:pStyle w:val="Heading1"/>
      </w:pPr>
      <w:r>
        <w:rPr>
          <w:rFonts w:ascii="Arial Unicode MS" w:hAnsi="Arial Unicode MS" w:eastAsia="Arial Unicode MS" w:cs="Arial Unicode MS"/>
          <w:b w:val="0"/>
          <w:i w:val="0"/>
        </w:rPr>
        <w:t>要確認事項</w:t>
      </w:r>
    </w:p>
    <w:p>
      <w:pPr>
        <w:pStyle w:val="ListBullet"/>
        <w:spacing w:before="0" w:after="160" w:line="280" w:lineRule="auto"/>
        <w:ind w:left="720" w:hanging="360"/>
      </w:pPr>
      <w:r>
        <w:rPr>
          <w:rFonts w:ascii="Arial Unicode MS" w:hAnsi="Arial Unicode MS" w:eastAsia="Arial Unicode MS" w:cs="Arial Unicode MS"/>
          <w:b w:val="0"/>
          <w:i w:val="0"/>
        </w:rPr>
        <w:t>販売先の主な属性</w:t>
      </w:r>
    </w:p>
    <w:p>
      <w:pPr>
        <w:pStyle w:val="ListBullet"/>
        <w:spacing w:before="0" w:after="160" w:line="280" w:lineRule="auto"/>
        <w:ind w:left="720" w:hanging="360"/>
      </w:pPr>
      <w:r>
        <w:rPr>
          <w:rFonts w:ascii="Arial Unicode MS" w:hAnsi="Arial Unicode MS" w:eastAsia="Arial Unicode MS" w:cs="Arial Unicode MS"/>
          <w:b w:val="0"/>
          <w:i w:val="0"/>
        </w:rPr>
        <w:t>見積書・契約書・請求書のマネーフォワード上の承認フロー</w:t>
      </w:r>
    </w:p>
    <w:p>
      <w:pPr>
        <w:pStyle w:val="ListBullet"/>
        <w:spacing w:before="0" w:after="160" w:line="280" w:lineRule="auto"/>
        <w:ind w:left="720" w:hanging="360"/>
      </w:pPr>
      <w:r>
        <w:rPr>
          <w:rFonts w:ascii="Arial Unicode MS" w:hAnsi="Arial Unicode MS" w:eastAsia="Arial Unicode MS" w:cs="Arial Unicode MS"/>
          <w:b w:val="0"/>
          <w:i w:val="0"/>
        </w:rPr>
        <w:t>Notionで管理している取引先情報の項目</w:t>
      </w:r>
    </w:p>
    <w:p>
      <w:pPr>
        <w:pStyle w:val="ListBullet"/>
        <w:spacing w:before="0" w:after="160" w:line="280" w:lineRule="auto"/>
        <w:ind w:left="720" w:hanging="360"/>
      </w:pPr>
      <w:r>
        <w:rPr>
          <w:rFonts w:ascii="Arial Unicode MS" w:hAnsi="Arial Unicode MS" w:eastAsia="Arial Unicode MS" w:cs="Arial Unicode MS"/>
          <w:b w:val="0"/>
          <w:i w:val="0"/>
        </w:rPr>
        <w:t>売掛金・未入金管理の担当者</w:t>
      </w:r>
    </w:p>
    <w:p>
      <w:pPr>
        <w:pStyle w:val="ListBullet"/>
        <w:spacing w:before="0" w:after="160" w:line="280" w:lineRule="auto"/>
        <w:ind w:left="720" w:hanging="360"/>
      </w:pPr>
      <w:r>
        <w:rPr>
          <w:rFonts w:ascii="Arial Unicode MS" w:hAnsi="Arial Unicode MS" w:eastAsia="Arial Unicode MS" w:cs="Arial Unicode MS"/>
          <w:b w:val="0"/>
          <w:i w:val="0"/>
        </w:rPr>
        <w:t>反社チェックの実施方法</w:t>
      </w:r>
    </w:p>
    <w:p>
      <w:pPr>
        <w:pStyle w:val="ListBullet"/>
        <w:spacing w:before="0" w:after="160" w:line="280" w:lineRule="auto"/>
        <w:ind w:left="720" w:hanging="360"/>
      </w:pPr>
      <w:r>
        <w:rPr>
          <w:rFonts w:ascii="Arial Unicode MS" w:hAnsi="Arial Unicode MS" w:eastAsia="Arial Unicode MS" w:cs="Arial Unicode MS"/>
          <w:b w:val="0"/>
          <w:i w:val="0"/>
        </w:rPr>
        <w:t>与信確認の基準</w:t>
      </w:r>
    </w:p>
    <w:p>
      <w:pPr>
        <w:pStyle w:val="ListBullet"/>
        <w:spacing w:before="0" w:after="160" w:line="280" w:lineRule="auto"/>
        <w:ind w:left="720" w:hanging="360"/>
      </w:pPr>
      <w:r>
        <w:rPr>
          <w:rFonts w:ascii="Arial Unicode MS" w:hAnsi="Arial Unicode MS" w:eastAsia="Arial Unicode MS" w:cs="Arial Unicode MS"/>
          <w:b w:val="0"/>
          <w:i w:val="0"/>
        </w:rPr>
        <w:t>クレームの受付・報告ルート</w:t>
      </w:r>
    </w:p>
    <w:p>
      <w:pPr>
        <w:pStyle w:val="Heading1"/>
      </w:pPr>
      <w:r>
        <w:rPr>
          <w:rFonts w:ascii="Arial Unicode MS" w:hAnsi="Arial Unicode MS" w:eastAsia="Arial Unicode MS" w:cs="Arial Unicode MS"/>
          <w:b w:val="0"/>
          <w:i w:val="0"/>
        </w:rPr>
        <w:t>現時点の前提メモ</w:t>
      </w:r>
    </w:p>
    <w:p>
      <w:pPr>
        <w:pStyle w:val="ListBullet"/>
        <w:spacing w:before="0" w:after="160" w:line="280" w:lineRule="auto"/>
        <w:ind w:left="720" w:hanging="360"/>
      </w:pPr>
      <w:r>
        <w:rPr>
          <w:rFonts w:ascii="Arial Unicode MS" w:hAnsi="Arial Unicode MS" w:eastAsia="Arial Unicode MS" w:cs="Arial Unicode MS"/>
          <w:b w:val="0"/>
          <w:i w:val="0"/>
        </w:rPr>
        <w:t>見積書、契約書、請求書はマネーフォワードを使用する。</w:t>
      </w:r>
    </w:p>
    <w:p>
      <w:pPr>
        <w:pStyle w:val="ListBullet"/>
        <w:spacing w:before="0" w:after="160" w:line="280" w:lineRule="auto"/>
        <w:ind w:left="720" w:hanging="360"/>
      </w:pPr>
      <w:r>
        <w:rPr>
          <w:rFonts w:ascii="Arial Unicode MS" w:hAnsi="Arial Unicode MS" w:eastAsia="Arial Unicode MS" w:cs="Arial Unicode MS"/>
          <w:b w:val="0"/>
          <w:i w:val="0"/>
        </w:rPr>
        <w:t>取引先管理はNotionを使用する。</w:t>
      </w:r>
    </w:p>
    <w:p>
      <w:pPr>
        <w:pStyle w:val="ListBullet"/>
        <w:spacing w:before="0" w:after="160" w:line="280" w:lineRule="auto"/>
        <w:ind w:left="720" w:hanging="360"/>
      </w:pPr>
      <w:r>
        <w:rPr>
          <w:rFonts w:ascii="Arial Unicode MS" w:hAnsi="Arial Unicode MS" w:eastAsia="Arial Unicode MS" w:cs="Arial Unicode MS"/>
          <w:b w:val="0"/>
          <w:i w:val="0"/>
        </w:rPr>
        <w:t>契約書には反社会的勢力排除条項を記載しているが、反社チェックの実査は未実施。</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A5A5A"/>
        <w:sz w:val="18"/>
      </w:rPr>
      <w:t>販売管理規程（ドラフト）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販売管理規程（ドラフト）</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