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center"/>
      </w:pPr>
      <w:r>
        <w:rPr>
          <w:rFonts w:ascii="Arial Unicode MS" w:hAnsi="Arial Unicode MS" w:eastAsia="Arial Unicode MS" w:cs="Arial Unicode MS"/>
          <w:b/>
          <w:color w:val="1F3A5F"/>
          <w:sz w:val="36"/>
        </w:rPr>
        <w:t>未確定論点・確認事項リスト</w:t>
      </w:r>
    </w:p>
    <w:p>
      <w:pPr>
        <w:jc w:val="right"/>
      </w:pPr>
      <w:r>
        <w:rPr>
          <w:rFonts w:ascii="Arial Unicode MS" w:hAnsi="Arial Unicode MS" w:eastAsia="Arial Unicode MS" w:cs="Arial Unicode MS"/>
          <w:b w:val="0"/>
          <w:color w:val="5B677A"/>
          <w:sz w:val="18"/>
        </w:rPr>
        <w:t>株式会社MoMo / 上場準備レビュー資料 / 作成日：2026年8月5日</w:t>
      </w:r>
    </w:p>
    <w:p>
      <w:pPr>
        <w:spacing w:before="24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1. 支援会社へ確認したい未確定論点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No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領域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現状反映済み事項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確認したい内容</w:t>
            </w:r>
          </w:p>
        </w:tc>
        <w:tc>
          <w:tcPr>
            <w:tcW w:type="dxa" w:w="1872"/>
            <w:vAlign w:val="top"/>
            <w:shd w:fill="F2F4F7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/>
                <w:color w:val="000000"/>
                <w:sz w:val="19"/>
              </w:rPr>
              <w:t>優先度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機関設計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N-1期中に取締役会設置会社・監査役設置会社へ移行方針。追加取締役1名は未定、外部候補を検討。外部非常勤監査役候補も未定。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追加取締役候補及び外部監査役候補の要件、選任時期、報酬、任期、責任限定契約、監査役会を当面置かない設計の妥当性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会議体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月次決算完了後すぐ経営会議を開催し、必要事項を取締役会へ上程。資料提出期限は3日前。議事録等はNotion確認記録で管理。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取締役会・経営会議の開催頻度、議題、議事録承認証跡、決議・報告事項の粒度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決裁統制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10万円以上代表承認、50万円以上経営会議又は取締役会報告、100万円以上原則取締役会決議。事後稟議は3営業日以内。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MoMoの規模及び上場準備水準から見た金額基準、事後稟議許容範囲、通常取引の例外設定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内部監査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初期は外部専門家活用。社内候補者なし。外部専門家未定。初回内部監査はN-1期下期想定。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外部内部監査支援先の選定要件、独立性、初年度監査範囲、初回サンプル件数、監査役監査との役割分担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反社・関連当事者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反社は管理部がWeb検索等の簡易チェックで開始。疑義相談先はOneasia越路先生。関連当事者管理責任者は未定。既存取引なし。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反社チェック方法、既存取引先の遡及範囲、関連当事者調査票対象、近親者・主要株主範囲、承認例外、開示検討時期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労務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末締め翌20日支払い、固定残業10時間分、通常賞与あり、人事評価は半期評価で賞与連動。就業規則PDFに支払日・労働時間・賞与算定期間の不整合あり。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社労士レビュー前に修正すべき就業規則・賃金規程・人事評価規程の論点、賞与算定期間、固定残業の記載方法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高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経理・資金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経理責任者及び月次確認者は柿塚。税理士は税理士法人cosmos。資金繰り表・銀行口座一覧はN-1期中に管理部が作成。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月次決算締め日程、月次処理項目、資金繰り表フォーマット、売上計上基準、固定資産・棚卸・税務処理のレビュー順序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情報管理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情報セキュリティ責任者は張、個人情報保護責任者は柿塚。主要サービスMFA必須。プライバシーポリシーは未公開。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プライバシーポリシー公開時期、AI入力禁止情報の詳細、ログ管理、インシデント時の連絡手段・顧客報告判断者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文書・証跡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文書管理台帳はNotion。Google Drive、Notion、マネーフォワード権限管理者は出水。契約書は電子契約中心。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電子帳簿保存法対応、フォルダ・ページ設計、保存期間10年中心の妥当性、紙原本発生時の統制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中</w:t>
            </w:r>
          </w:p>
        </w:tc>
      </w:tr>
      <w:tr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販売・購買・外注・クレーム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MFとNotionを中心に運用。購買相見積は50万円以上目安。外注検収は発注部門責任者。クレーム管理責任者は管理部。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承認フロー、発注担当者、外注先選定基準、返金・値引・補償・契約解除の金額基準、研修品質問題の初動責任者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rFonts w:ascii="Arial Unicode MS" w:hAnsi="Arial Unicode MS" w:eastAsia="Arial Unicode MS" w:cs="Arial Unicode MS"/>
                <w:b w:val="0"/>
                <w:color w:val="000000"/>
                <w:sz w:val="19"/>
              </w:rPr>
              <w:t>中</w:t>
            </w:r>
          </w:p>
        </w:tc>
      </w:tr>
    </w:tbl>
    <w:p/>
    <w:p>
      <w:pPr>
        <w:spacing w:before="240" w:after="120"/>
      </w:pPr>
      <w:r>
        <w:rPr>
          <w:rFonts w:ascii="Arial Unicode MS" w:hAnsi="Arial Unicode MS" w:eastAsia="Arial Unicode MS" w:cs="Arial Unicode MS"/>
          <w:b/>
          <w:color w:val="2E74B5"/>
          <w:sz w:val="26"/>
        </w:rPr>
        <w:t>2. 支援会社へ確認したいレビュー観点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現時点の規程35本の粒度が、TOKYO PRO Market準備段階として過不足ないか。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グロース市場を見据えた場合に、今から追加すべき規程、細則、要領、業務フロー、RCMがあるか。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内部統制文書化に向け、業務記述書・フローチャート・RCMの作成順序はどこから始めるべきか。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Arial Unicode MS" w:hAnsi="Arial Unicode MS" w:eastAsia="Arial Unicode MS" w:cs="Arial Unicode MS"/>
          <w:b w:val="0"/>
          <w:color w:val="000000"/>
          <w:sz w:val="22"/>
        </w:rPr>
        <w:t>監査法人・J-Adviser・主幹事候補に提出する場合、先に整えるべき証跡は何か。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